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1E0" w:firstRow="1" w:lastRow="1" w:firstColumn="1" w:lastColumn="1" w:noHBand="0" w:noVBand="0"/>
      </w:tblPr>
      <w:tblGrid>
        <w:gridCol w:w="3402"/>
        <w:gridCol w:w="5669"/>
      </w:tblGrid>
      <w:tr w:rsidR="001D1805" w:rsidRPr="004A56B3" w:rsidTr="003915A5">
        <w:tc>
          <w:tcPr>
            <w:tcW w:w="1875" w:type="pct"/>
          </w:tcPr>
          <w:p w:rsidR="00230FC8" w:rsidRDefault="00F10B40" w:rsidP="003B7EFB">
            <w:pPr>
              <w:widowControl w:val="0"/>
              <w:tabs>
                <w:tab w:val="right" w:leader="dot" w:pos="7920"/>
              </w:tabs>
              <w:jc w:val="center"/>
              <w:rPr>
                <w:b/>
                <w:sz w:val="26"/>
                <w:szCs w:val="26"/>
                <w:vertAlign w:val="superscript"/>
              </w:rPr>
            </w:pPr>
            <w:r>
              <w:rPr>
                <w:b/>
                <w:noProof/>
                <w:sz w:val="26"/>
                <w:szCs w:val="26"/>
              </w:rPr>
              <mc:AlternateContent>
                <mc:Choice Requires="wps">
                  <w:drawing>
                    <wp:anchor distT="0" distB="0" distL="114300" distR="114300" simplePos="0" relativeHeight="251663360" behindDoc="0" locked="0" layoutInCell="1" allowOverlap="1">
                      <wp:simplePos x="0" y="0"/>
                      <wp:positionH relativeFrom="column">
                        <wp:posOffset>708660</wp:posOffset>
                      </wp:positionH>
                      <wp:positionV relativeFrom="paragraph">
                        <wp:posOffset>271145</wp:posOffset>
                      </wp:positionV>
                      <wp:extent cx="60007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F6E6DE"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5.8pt,21.35pt" to="103.0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" strokecolor="black [3200]" strokeweight=".5pt">
                      <v:stroke joinstyle="miter"/>
                    </v:line>
                  </w:pict>
                </mc:Fallback>
              </mc:AlternateContent>
            </w:r>
            <w:r w:rsidR="00A55BAB" w:rsidRPr="004A56B3">
              <w:rPr>
                <w:b/>
                <w:sz w:val="26"/>
                <w:szCs w:val="26"/>
              </w:rPr>
              <w:t>BỘ TÀI CHÍNH</w:t>
            </w:r>
            <w:r w:rsidR="00A55BAB" w:rsidRPr="004A56B3">
              <w:rPr>
                <w:b/>
                <w:sz w:val="26"/>
                <w:szCs w:val="26"/>
              </w:rPr>
              <w:br/>
            </w:r>
          </w:p>
          <w:p w:rsidR="00A55BAB" w:rsidRPr="00230FC8" w:rsidRDefault="00A55BAB" w:rsidP="00230FC8">
            <w:pPr>
              <w:jc w:val="center"/>
              <w:rPr>
                <w:sz w:val="26"/>
                <w:szCs w:val="26"/>
              </w:rPr>
            </w:pPr>
          </w:p>
        </w:tc>
        <w:tc>
          <w:tcPr>
            <w:tcW w:w="3125" w:type="pct"/>
          </w:tcPr>
          <w:p w:rsidR="00A55BAB" w:rsidRPr="004A56B3" w:rsidRDefault="00A55BAB" w:rsidP="003B7EFB">
            <w:pPr>
              <w:widowControl w:val="0"/>
              <w:tabs>
                <w:tab w:val="right" w:leader="dot" w:pos="7920"/>
              </w:tabs>
              <w:jc w:val="center"/>
              <w:rPr>
                <w:sz w:val="26"/>
                <w:szCs w:val="26"/>
                <w:vertAlign w:val="superscript"/>
              </w:rPr>
            </w:pPr>
            <w:r w:rsidRPr="004A56B3">
              <w:rPr>
                <w:b/>
                <w:noProof/>
                <w:sz w:val="26"/>
                <w:szCs w:val="26"/>
              </w:rPr>
              <mc:AlternateContent>
                <mc:Choice Requires="wps">
                  <w:drawing>
                    <wp:anchor distT="0" distB="0" distL="114300" distR="114300" simplePos="0" relativeHeight="251659264" behindDoc="0" locked="0" layoutInCell="1" allowOverlap="1" wp14:anchorId="2D3F8290" wp14:editId="7880AAC5">
                      <wp:simplePos x="0" y="0"/>
                      <wp:positionH relativeFrom="column">
                        <wp:posOffset>745490</wp:posOffset>
                      </wp:positionH>
                      <wp:positionV relativeFrom="paragraph">
                        <wp:posOffset>412750</wp:posOffset>
                      </wp:positionV>
                      <wp:extent cx="1962150" cy="0"/>
                      <wp:effectExtent l="9525" t="8255" r="952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E3A5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pt,32.5pt" to="213.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q6X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"/>
                  </w:pict>
                </mc:Fallback>
              </mc:AlternateContent>
            </w:r>
            <w:r w:rsidRPr="004A56B3">
              <w:rPr>
                <w:b/>
                <w:sz w:val="26"/>
                <w:szCs w:val="26"/>
              </w:rPr>
              <w:t>CỘNG HÒA XÃ HỘI CHỦ NGHĨA VIỆTNAM</w:t>
            </w:r>
            <w:r w:rsidRPr="004A56B3">
              <w:rPr>
                <w:b/>
                <w:sz w:val="26"/>
                <w:szCs w:val="26"/>
              </w:rPr>
              <w:br/>
            </w:r>
            <w:r w:rsidRPr="00D84DE5">
              <w:rPr>
                <w:b/>
              </w:rPr>
              <w:t>Độc lập - Tự do - Hạnh phúc</w:t>
            </w:r>
            <w:r w:rsidRPr="004A56B3">
              <w:rPr>
                <w:b/>
                <w:sz w:val="26"/>
                <w:szCs w:val="26"/>
              </w:rPr>
              <w:t xml:space="preserve"> </w:t>
            </w:r>
            <w:r w:rsidRPr="004A56B3">
              <w:rPr>
                <w:b/>
                <w:sz w:val="26"/>
                <w:szCs w:val="26"/>
              </w:rPr>
              <w:br/>
            </w:r>
          </w:p>
        </w:tc>
      </w:tr>
      <w:tr w:rsidR="00A55BAB" w:rsidRPr="00C37602" w:rsidTr="00E92559">
        <w:trPr>
          <w:trHeight w:val="490"/>
        </w:trPr>
        <w:tc>
          <w:tcPr>
            <w:tcW w:w="1875" w:type="pct"/>
          </w:tcPr>
          <w:p w:rsidR="00A55BAB" w:rsidRPr="004A56B3" w:rsidRDefault="00230FC8" w:rsidP="003B7EFB">
            <w:pPr>
              <w:widowControl w:val="0"/>
              <w:tabs>
                <w:tab w:val="right" w:leader="dot" w:pos="7920"/>
              </w:tabs>
              <w:jc w:val="center"/>
              <w:rPr>
                <w:i/>
                <w:iCs/>
                <w:sz w:val="26"/>
                <w:szCs w:val="26"/>
              </w:rPr>
            </w:pPr>
            <w:r w:rsidRPr="00CF2CAD">
              <w:rPr>
                <w:color w:val="000000" w:themeColor="text1"/>
                <w:sz w:val="26"/>
                <w:szCs w:val="26"/>
              </w:rPr>
              <w:t>Số: ......... /BC-BTC</w:t>
            </w:r>
          </w:p>
        </w:tc>
        <w:tc>
          <w:tcPr>
            <w:tcW w:w="3125" w:type="pct"/>
          </w:tcPr>
          <w:p w:rsidR="00A55BAB" w:rsidRPr="009627F7" w:rsidRDefault="004779C0" w:rsidP="004779C0">
            <w:pPr>
              <w:widowControl w:val="0"/>
              <w:tabs>
                <w:tab w:val="right" w:leader="dot" w:pos="7920"/>
              </w:tabs>
              <w:rPr>
                <w:i/>
                <w:iCs/>
                <w:lang w:val="vi-VN"/>
              </w:rPr>
            </w:pPr>
            <w:r>
              <w:rPr>
                <w:i/>
                <w:lang w:val="vi-VN"/>
              </w:rPr>
              <w:t xml:space="preserve">       </w:t>
            </w:r>
            <w:r w:rsidR="00A55BAB" w:rsidRPr="009627F7">
              <w:rPr>
                <w:i/>
                <w:lang w:val="vi-VN"/>
              </w:rPr>
              <w:t>Hà Nội, ngày        tháng       năm 2024</w:t>
            </w:r>
          </w:p>
        </w:tc>
      </w:tr>
    </w:tbl>
    <w:p w:rsidR="00A55BAB" w:rsidRPr="009627F7" w:rsidRDefault="00A55BAB" w:rsidP="00E92559">
      <w:pPr>
        <w:widowControl w:val="0"/>
        <w:tabs>
          <w:tab w:val="right" w:leader="dot" w:pos="7920"/>
        </w:tabs>
        <w:spacing w:line="376" w:lineRule="exact"/>
        <w:rPr>
          <w:b/>
          <w:sz w:val="16"/>
          <w:lang w:val="vi-VN"/>
        </w:rPr>
      </w:pPr>
    </w:p>
    <w:p w:rsidR="00A55BAB" w:rsidRPr="009627F7" w:rsidRDefault="00A55BAB" w:rsidP="00A55BAB">
      <w:pPr>
        <w:widowControl w:val="0"/>
        <w:tabs>
          <w:tab w:val="right" w:leader="dot" w:pos="7920"/>
        </w:tabs>
        <w:spacing w:line="376" w:lineRule="exact"/>
        <w:jc w:val="center"/>
        <w:rPr>
          <w:b/>
          <w:lang w:val="vi-VN"/>
        </w:rPr>
      </w:pPr>
      <w:r w:rsidRPr="009627F7">
        <w:rPr>
          <w:b/>
          <w:lang w:val="vi-VN"/>
        </w:rPr>
        <w:t xml:space="preserve">BÁO CÁO </w:t>
      </w:r>
    </w:p>
    <w:p w:rsidR="00C64879" w:rsidRPr="009627F7" w:rsidRDefault="00B74B9F" w:rsidP="00145F9C">
      <w:pPr>
        <w:widowControl w:val="0"/>
        <w:tabs>
          <w:tab w:val="right" w:leader="dot" w:pos="7920"/>
        </w:tabs>
        <w:spacing w:line="376" w:lineRule="exact"/>
        <w:jc w:val="center"/>
        <w:rPr>
          <w:b/>
          <w:lang w:val="vi-VN"/>
        </w:rPr>
      </w:pPr>
      <w:r w:rsidRPr="009627F7">
        <w:rPr>
          <w:b/>
          <w:lang w:val="vi-VN"/>
        </w:rPr>
        <w:t xml:space="preserve">Đánh giá tác động của chính sách trong </w:t>
      </w:r>
      <w:r w:rsidR="00BC2F4A" w:rsidRPr="009627F7">
        <w:rPr>
          <w:b/>
          <w:lang w:val="vi-VN"/>
        </w:rPr>
        <w:t>D</w:t>
      </w:r>
      <w:r w:rsidR="00A55BAB" w:rsidRPr="009627F7">
        <w:rPr>
          <w:b/>
          <w:lang w:val="vi-VN"/>
        </w:rPr>
        <w:t>ự thảo Nghị định sửa đổi, bổ sung một số điều của Ngh</w:t>
      </w:r>
      <w:bookmarkStart w:id="0" w:name="_GoBack"/>
      <w:bookmarkEnd w:id="0"/>
      <w:r w:rsidR="00A55BAB" w:rsidRPr="009627F7">
        <w:rPr>
          <w:b/>
          <w:lang w:val="vi-VN"/>
        </w:rPr>
        <w:t xml:space="preserve">ị định số 155/2020/NĐ-CP </w:t>
      </w:r>
      <w:bookmarkStart w:id="1" w:name="_Hlk166576483"/>
      <w:r w:rsidR="00A55BAB" w:rsidRPr="009627F7">
        <w:rPr>
          <w:b/>
          <w:lang w:val="vi-VN"/>
        </w:rPr>
        <w:t>ngày 31</w:t>
      </w:r>
      <w:r w:rsidR="00655A1B" w:rsidRPr="009627F7">
        <w:rPr>
          <w:b/>
          <w:lang w:val="vi-VN"/>
        </w:rPr>
        <w:t xml:space="preserve"> tháng 12 năm </w:t>
      </w:r>
      <w:r w:rsidR="00A55BAB" w:rsidRPr="009627F7">
        <w:rPr>
          <w:b/>
          <w:lang w:val="vi-VN"/>
        </w:rPr>
        <w:t xml:space="preserve">2020 của Chính phủ quy định chi tiết thi hành một số điều của </w:t>
      </w:r>
      <w:r w:rsidRPr="009627F7">
        <w:rPr>
          <w:b/>
          <w:lang w:val="vi-VN"/>
        </w:rPr>
        <w:br/>
      </w:r>
      <w:r w:rsidR="00A55BAB" w:rsidRPr="009627F7">
        <w:rPr>
          <w:b/>
          <w:lang w:val="vi-VN"/>
        </w:rPr>
        <w:t>Luật Chứng khoán</w:t>
      </w:r>
      <w:r w:rsidR="001C5001" w:rsidRPr="009627F7">
        <w:rPr>
          <w:b/>
          <w:lang w:val="vi-VN"/>
        </w:rPr>
        <w:t xml:space="preserve"> theo trình tự, thủ tục rút gọn</w:t>
      </w:r>
      <w:bookmarkEnd w:id="1"/>
    </w:p>
    <w:p w:rsidR="00F65718" w:rsidRPr="009627F7" w:rsidRDefault="00F65718" w:rsidP="00A20228">
      <w:pPr>
        <w:widowControl w:val="0"/>
        <w:tabs>
          <w:tab w:val="right" w:leader="dot" w:pos="7920"/>
        </w:tabs>
        <w:spacing w:before="120" w:after="120" w:line="252" w:lineRule="auto"/>
        <w:ind w:firstLine="720"/>
        <w:jc w:val="both"/>
        <w:rPr>
          <w:lang w:val="vi-VN"/>
        </w:rPr>
      </w:pPr>
      <w:r w:rsidRPr="004A56B3">
        <w:rPr>
          <w:b/>
          <w:noProof/>
          <w:sz w:val="26"/>
          <w:szCs w:val="26"/>
        </w:rPr>
        <mc:AlternateContent>
          <mc:Choice Requires="wps">
            <w:drawing>
              <wp:anchor distT="0" distB="0" distL="114300" distR="114300" simplePos="0" relativeHeight="251662336" behindDoc="0" locked="0" layoutInCell="1" allowOverlap="1" wp14:anchorId="71E4BF05" wp14:editId="6F8111A2">
                <wp:simplePos x="0" y="0"/>
                <wp:positionH relativeFrom="margin">
                  <wp:posOffset>2415540</wp:posOffset>
                </wp:positionH>
                <wp:positionV relativeFrom="paragraph">
                  <wp:posOffset>86360</wp:posOffset>
                </wp:positionV>
                <wp:extent cx="9715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7264F"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0.2pt,6.8pt" to="266.7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JbU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">
                <w10:wrap anchorx="margin"/>
              </v:line>
            </w:pict>
          </mc:Fallback>
        </mc:AlternateContent>
      </w:r>
    </w:p>
    <w:p w:rsidR="00A55BAB" w:rsidRPr="009627F7" w:rsidRDefault="00A55BAB" w:rsidP="00F86EF5">
      <w:pPr>
        <w:widowControl w:val="0"/>
        <w:tabs>
          <w:tab w:val="right" w:leader="dot" w:pos="7920"/>
        </w:tabs>
        <w:spacing w:before="120" w:after="120" w:line="252" w:lineRule="auto"/>
        <w:ind w:firstLine="720"/>
        <w:jc w:val="both"/>
        <w:rPr>
          <w:lang w:val="vi-VN"/>
        </w:rPr>
      </w:pPr>
      <w:r w:rsidRPr="009627F7">
        <w:rPr>
          <w:lang w:val="vi-VN"/>
        </w:rPr>
        <w:t xml:space="preserve">Thời gian qua, Chính phủ đã ban hành Nghị định số 155/2020/NĐ-CP ngày 31/12/2020 quy định chi tiết thi hành một số điều của Luật Chứng khoán (sau đây gọi tắt là Nghị định số 155/2020/NĐ-CP). Nghị định số 155/2020/NĐ-CP có hiệu lực từ ngày 01/01/2021, cùng với các Thông tư hướng dẫn thi hành của Bộ Tài chính đã góp phần hoàn thiện khuôn khổ pháp lý, đáp ứng mục tiêu quản lý, giám sát các hoạt động trên thị trường chứng khoán (TTCK). Tuy nhiên, qua quá trình triển khai thi hành, bên cạnh những kết quả đạt được đã phát sinh một số nội dung cần phải sửa đổi, bổ sung để đáp ứng tình hình của thị trường và để tháo gỡ một số khó khăn vướng mắc của doanh nghiệp niêm yết trên TTCK theo </w:t>
      </w:r>
      <w:r w:rsidR="00CC2560" w:rsidRPr="009627F7">
        <w:rPr>
          <w:lang w:val="vi-VN"/>
        </w:rPr>
        <w:t>các</w:t>
      </w:r>
      <w:r w:rsidRPr="009627F7">
        <w:rPr>
          <w:lang w:val="vi-VN"/>
        </w:rPr>
        <w:t xml:space="preserve"> chủ trương của Chính phủ.</w:t>
      </w:r>
    </w:p>
    <w:p w:rsidR="00A55BAB" w:rsidRPr="009627F7" w:rsidRDefault="00A55BAB" w:rsidP="00F86EF5">
      <w:pPr>
        <w:widowControl w:val="0"/>
        <w:tabs>
          <w:tab w:val="right" w:leader="dot" w:pos="7920"/>
        </w:tabs>
        <w:spacing w:before="120" w:after="120" w:line="252" w:lineRule="auto"/>
        <w:ind w:firstLine="720"/>
        <w:jc w:val="both"/>
        <w:rPr>
          <w:lang w:val="vi-VN"/>
        </w:rPr>
      </w:pPr>
      <w:r w:rsidRPr="009627F7">
        <w:rPr>
          <w:lang w:val="vi-VN"/>
        </w:rPr>
        <w:t>T</w:t>
      </w:r>
      <w:r w:rsidR="00434A3E" w:rsidRPr="009627F7">
        <w:rPr>
          <w:lang w:val="vi-VN"/>
        </w:rPr>
        <w:t>rên cơ sở</w:t>
      </w:r>
      <w:r w:rsidRPr="009627F7">
        <w:rPr>
          <w:lang w:val="vi-VN"/>
        </w:rPr>
        <w:t xml:space="preserve"> đó, Bộ Tài chính đã chủ trì, phối hợp các Bộ, ngành rà soát, đánh giá Nghị định 155/2020/NĐ-CP và đề xuất việc sửa đổi, bổ sung để đáp ứng tình hình thị trường và tháo gỡ một số khó khăn, vướng mắc của các doanh nghiệp niêm yết trên TTCK. Bộ Tài chính xây dựng </w:t>
      </w:r>
      <w:r w:rsidR="000C651D" w:rsidRPr="009627F7">
        <w:rPr>
          <w:lang w:val="vi-VN"/>
        </w:rPr>
        <w:t>D</w:t>
      </w:r>
      <w:r w:rsidRPr="009627F7">
        <w:rPr>
          <w:lang w:val="vi-VN"/>
        </w:rPr>
        <w:t>ự thảo Nghị định sửa đổi, bổ sung một số điều của Nghị định số 155/2020/NĐ-CP</w:t>
      </w:r>
      <w:r w:rsidR="00844E76" w:rsidRPr="009627F7">
        <w:rPr>
          <w:lang w:val="vi-VN"/>
        </w:rPr>
        <w:t xml:space="preserve"> ngày 31/12/2020 của Chính phủ quy định chi tiết thi hành một số điều của Luật Chứng khoán theo trình tự, thủ tục rút gọn (sau đây gọi tắt là </w:t>
      </w:r>
      <w:r w:rsidR="007D142D" w:rsidRPr="009627F7">
        <w:rPr>
          <w:lang w:val="vi-VN"/>
        </w:rPr>
        <w:t>D</w:t>
      </w:r>
      <w:r w:rsidR="00844E76" w:rsidRPr="009627F7">
        <w:rPr>
          <w:lang w:val="vi-VN"/>
        </w:rPr>
        <w:t>ự thảo Nghị định)</w:t>
      </w:r>
      <w:r w:rsidRPr="009627F7">
        <w:rPr>
          <w:lang w:val="vi-VN"/>
        </w:rPr>
        <w:t xml:space="preserve">. Dự thảo Nghị định đã được lấy ý kiến các Bộ, ngành, các đơn vị trực thuộc Bộ Tài chính và đối tượng </w:t>
      </w:r>
      <w:r w:rsidR="009A2144" w:rsidRPr="009627F7">
        <w:rPr>
          <w:lang w:val="vi-VN"/>
        </w:rPr>
        <w:t>chịu tác động</w:t>
      </w:r>
      <w:r w:rsidRPr="009627F7">
        <w:rPr>
          <w:lang w:val="vi-VN"/>
        </w:rPr>
        <w:t xml:space="preserve"> của Nghị định tại Cổng thông tin điện tử Bộ Tài chính, Ủy ban Chứng khoán Nhà nước và lấy ý kiến thẩm định của Bộ Tư pháp.</w:t>
      </w:r>
    </w:p>
    <w:p w:rsidR="00A55BAB" w:rsidRPr="009627F7" w:rsidRDefault="00A55BAB" w:rsidP="00F86EF5">
      <w:pPr>
        <w:widowControl w:val="0"/>
        <w:tabs>
          <w:tab w:val="right" w:leader="dot" w:pos="7920"/>
        </w:tabs>
        <w:spacing w:before="120" w:after="120" w:line="252" w:lineRule="auto"/>
        <w:ind w:firstLine="720"/>
        <w:jc w:val="both"/>
        <w:rPr>
          <w:lang w:val="vi-VN"/>
        </w:rPr>
      </w:pPr>
      <w:r w:rsidRPr="009627F7">
        <w:rPr>
          <w:lang w:val="vi-VN"/>
        </w:rPr>
        <w:t xml:space="preserve">Bộ Tài chính xin báo cáo đánh giá tác động của các chính sách trong </w:t>
      </w:r>
      <w:r w:rsidR="009831EC" w:rsidRPr="009627F7">
        <w:rPr>
          <w:lang w:val="vi-VN"/>
        </w:rPr>
        <w:t>D</w:t>
      </w:r>
      <w:r w:rsidRPr="009627F7">
        <w:rPr>
          <w:lang w:val="vi-VN"/>
        </w:rPr>
        <w:t xml:space="preserve">ự thảo Nghị định sửa đổi, bổ sung </w:t>
      </w:r>
      <w:r w:rsidR="00844E76" w:rsidRPr="009627F7">
        <w:rPr>
          <w:lang w:val="vi-VN"/>
        </w:rPr>
        <w:t xml:space="preserve">một số điều của </w:t>
      </w:r>
      <w:r w:rsidRPr="009627F7">
        <w:rPr>
          <w:lang w:val="vi-VN"/>
        </w:rPr>
        <w:t xml:space="preserve">Nghị định 155/2020/NĐ-CP </w:t>
      </w:r>
      <w:r w:rsidR="00D67CA8" w:rsidRPr="009627F7">
        <w:rPr>
          <w:lang w:val="vi-VN"/>
        </w:rPr>
        <w:t xml:space="preserve">theo trình tự, thủ tục rút gọn </w:t>
      </w:r>
      <w:r w:rsidRPr="009627F7">
        <w:rPr>
          <w:lang w:val="vi-VN"/>
        </w:rPr>
        <w:t>như sau:</w:t>
      </w:r>
    </w:p>
    <w:p w:rsidR="00FA2F12" w:rsidRPr="009627F7" w:rsidRDefault="00FA2F12" w:rsidP="00F86EF5">
      <w:pPr>
        <w:widowControl w:val="0"/>
        <w:tabs>
          <w:tab w:val="right" w:leader="dot" w:pos="7920"/>
        </w:tabs>
        <w:spacing w:before="120" w:after="120" w:line="252" w:lineRule="auto"/>
        <w:ind w:left="720"/>
        <w:jc w:val="both"/>
        <w:rPr>
          <w:b/>
          <w:lang w:val="vi-VN"/>
        </w:rPr>
      </w:pPr>
      <w:r w:rsidRPr="009627F7">
        <w:rPr>
          <w:b/>
          <w:lang w:val="vi-VN"/>
        </w:rPr>
        <w:t>I. XÁC ĐỊNH VẤN ĐỀ</w:t>
      </w:r>
    </w:p>
    <w:p w:rsidR="001B7567" w:rsidRPr="009627F7" w:rsidRDefault="00A55BAB" w:rsidP="00F86EF5">
      <w:pPr>
        <w:widowControl w:val="0"/>
        <w:tabs>
          <w:tab w:val="right" w:leader="dot" w:pos="7920"/>
        </w:tabs>
        <w:spacing w:before="120" w:after="120" w:line="252" w:lineRule="auto"/>
        <w:ind w:left="720"/>
        <w:jc w:val="both"/>
        <w:rPr>
          <w:b/>
          <w:lang w:val="vi-VN"/>
        </w:rPr>
      </w:pPr>
      <w:r w:rsidRPr="009627F7">
        <w:rPr>
          <w:b/>
          <w:lang w:val="vi-VN"/>
        </w:rPr>
        <w:t>1. Bối cảnh xây dựng chính sách</w:t>
      </w:r>
    </w:p>
    <w:p w:rsidR="00A55BAB" w:rsidRPr="009627F7" w:rsidRDefault="00A55BAB" w:rsidP="00F86EF5">
      <w:pPr>
        <w:widowControl w:val="0"/>
        <w:tabs>
          <w:tab w:val="right" w:leader="dot" w:pos="7920"/>
        </w:tabs>
        <w:spacing w:before="120" w:after="120" w:line="252" w:lineRule="auto"/>
        <w:ind w:firstLine="720"/>
        <w:jc w:val="both"/>
        <w:rPr>
          <w:lang w:val="vi-VN"/>
        </w:rPr>
      </w:pPr>
      <w:r w:rsidRPr="009627F7">
        <w:rPr>
          <w:lang w:val="vi-VN"/>
        </w:rPr>
        <w:t xml:space="preserve">Trước khi Nghị định số 155/2020/NĐ-CP được ban hành, hoạt động niêm yết, đăng ký giao dịch chứng khoán, hoạt động bù trừ và thanh toán giao dịch </w:t>
      </w:r>
      <w:r w:rsidRPr="009627F7">
        <w:rPr>
          <w:lang w:val="vi-VN"/>
        </w:rPr>
        <w:lastRenderedPageBreak/>
        <w:t xml:space="preserve">chứng khoán được thực hiện theo quy định tại </w:t>
      </w:r>
      <w:r w:rsidRPr="004A56B3">
        <w:rPr>
          <w:lang w:val="nl-NL"/>
        </w:rPr>
        <w:t>Nghị định số 58/2012/NĐ-CP, Nghị định số 60/2015/NĐ-CP</w:t>
      </w:r>
      <w:r w:rsidRPr="009627F7">
        <w:rPr>
          <w:lang w:val="vi-VN"/>
        </w:rPr>
        <w:t xml:space="preserve"> và các văn bản hướng dẫn.</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4A56B3">
        <w:rPr>
          <w:lang w:val="nl-NL"/>
        </w:rPr>
        <w:t>Trên cơ sở rà soát, đánh giá lại thị trường và rà soát với hệ thống pháp luật đã được Quốc hội điều chỉnh, bổ sung (Luật Doanh nghiệp số 59/2020/QH14, Luật Đầu tư 61/2020/QH14...), Bộ Tài chính đã phối hợp các Bộ, ngành xây dựng, trình Chính phủ ban hành Nghị định số 155/2020/NĐ-CP (thay thế Nghị định số 58/2012/NĐ-CP, Nghị định số 60/2015/NĐ-CP, Nghị định số 86/2016/NĐ-CP, Nghị định số 71/2017/NĐ-CP) và ban hành các Thông tư hướng dẫn.</w:t>
      </w:r>
    </w:p>
    <w:p w:rsidR="00A55BAB" w:rsidRPr="004A56B3" w:rsidRDefault="00A55BAB" w:rsidP="00F86EF5">
      <w:pPr>
        <w:pStyle w:val="NormalWeb"/>
        <w:spacing w:before="120" w:beforeAutospacing="0" w:after="120" w:afterAutospacing="0" w:line="252" w:lineRule="auto"/>
        <w:ind w:firstLine="720"/>
        <w:jc w:val="both"/>
        <w:rPr>
          <w:sz w:val="28"/>
          <w:szCs w:val="28"/>
          <w:lang w:val="nl-NL"/>
        </w:rPr>
      </w:pPr>
      <w:r w:rsidRPr="004A56B3">
        <w:rPr>
          <w:sz w:val="28"/>
          <w:szCs w:val="28"/>
          <w:lang w:val="nl-NL"/>
        </w:rPr>
        <w:t xml:space="preserve">Việc ban hành Nghị định số 155/2020/NĐ-CP và các văn bản hướng dẫn đã góp phần tạo lập được khuôn khổ pháp lý tương đối đầy đủ, đồng bộ, thống nhất, điều chỉnh toàn diện hoạt động chứng khoán và TTCK, từng bước phù hợp với luật pháp, thông lệ quốc tế. Qua đó, tạo cơ sở để TTCK Việt Nam phát triển lành mạnh, ổn định và vững chắc, từng bước </w:t>
      </w:r>
      <w:r w:rsidRPr="004A56B3">
        <w:rPr>
          <w:spacing w:val="-2"/>
          <w:sz w:val="28"/>
          <w:szCs w:val="28"/>
          <w:lang w:val="sv-SE"/>
        </w:rPr>
        <w:t>hình thành một hệ thống tài chính trên nền tảng hài hòa giữa TTCK và thị trường tiền tệ - tín dụng,</w:t>
      </w:r>
      <w:r w:rsidRPr="004A56B3">
        <w:rPr>
          <w:sz w:val="28"/>
          <w:szCs w:val="28"/>
          <w:lang w:val="nl-NL"/>
        </w:rPr>
        <w:t xml:space="preserve"> tạo nền móng cho TTCK Việt Nam có khả năng hội nhập với các thị trường vốn quốc tế và đạt được nhiều thành tựu đáng kể đóng góp cho nền kinh tế. </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4A56B3">
        <w:rPr>
          <w:lang w:val="nl-NL"/>
        </w:rPr>
        <w:tab/>
      </w:r>
      <w:r w:rsidR="00D12489" w:rsidRPr="004A56B3">
        <w:rPr>
          <w:lang w:val="nl-NL"/>
        </w:rPr>
        <w:t>Bên cạnh những mặt đạt được</w:t>
      </w:r>
      <w:r w:rsidRPr="004A56B3">
        <w:rPr>
          <w:lang w:val="nl-NL"/>
        </w:rPr>
        <w:t xml:space="preserve">, trong thời gian qua, đặc biệt là </w:t>
      </w:r>
      <w:r w:rsidR="00D12489" w:rsidRPr="004A56B3">
        <w:rPr>
          <w:lang w:val="nl-NL"/>
        </w:rPr>
        <w:t xml:space="preserve">trong </w:t>
      </w:r>
      <w:r w:rsidRPr="004A56B3">
        <w:rPr>
          <w:lang w:val="nl-NL"/>
        </w:rPr>
        <w:t>giai đoạn từ năm 2021-2023, bối cảnh kinh tế - xã hội và thị trường tài chính trong nước, quốc tế có nhiều diễn biến phức tạp, ảnh hưởng</w:t>
      </w:r>
      <w:r w:rsidR="00D12489" w:rsidRPr="004A56B3">
        <w:rPr>
          <w:lang w:val="nl-NL"/>
        </w:rPr>
        <w:t xml:space="preserve"> không nhỏ</w:t>
      </w:r>
      <w:r w:rsidRPr="004A56B3">
        <w:rPr>
          <w:lang w:val="nl-NL"/>
        </w:rPr>
        <w:t xml:space="preserve"> đến hoạt động của TTCK Việt Nam. Theo đó, Nghị quyết số 86/NQ-CP ngày 11/7/2022 của Chính phủ về phát triển thị trường vốn an toàn, minh bạch, hiệu quả, bền vững nhằm ổn định kinh tế vĩ mô, huy động nguồn lực phát triển kinh tế -</w:t>
      </w:r>
      <w:r w:rsidR="00C21599">
        <w:rPr>
          <w:lang w:val="nl-NL"/>
        </w:rPr>
        <w:t xml:space="preserve"> </w:t>
      </w:r>
      <w:r w:rsidRPr="004A56B3">
        <w:rPr>
          <w:lang w:val="nl-NL"/>
        </w:rPr>
        <w:t>xã h</w:t>
      </w:r>
      <w:r w:rsidR="004039D1">
        <w:rPr>
          <w:lang w:val="nl-NL"/>
        </w:rPr>
        <w:t>ộ</w:t>
      </w:r>
      <w:r w:rsidRPr="004A56B3">
        <w:rPr>
          <w:lang w:val="nl-NL"/>
        </w:rPr>
        <w:t>i, trong đó, Chính phủ giao Bộ Tài chính “</w:t>
      </w:r>
      <w:r w:rsidR="00CA0643" w:rsidRPr="004A56B3">
        <w:rPr>
          <w:i/>
          <w:lang w:val="nl-NL"/>
        </w:rPr>
        <w:t>R</w:t>
      </w:r>
      <w:r w:rsidRPr="004A56B3">
        <w:rPr>
          <w:i/>
          <w:lang w:val="nl-NL"/>
        </w:rPr>
        <w:t>à soát, đánh giá tình hình thực hiện Luật Chứng khoán và Luật Doanh nghiệp để trình Chính phủ sự cần thiết sửa đổi, bổ sung Luật Chứng khoán và Nghị định số 155/2020/NĐ-CP ngày 31/12/2020 của Chính phủ quy định chi tiết thi hành một số điều của Luật Chứng khoán</w:t>
      </w:r>
      <w:r w:rsidRPr="004A56B3">
        <w:rPr>
          <w:lang w:val="nl-NL"/>
        </w:rPr>
        <w:t>”.</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4A56B3">
        <w:rPr>
          <w:lang w:val="nl-NL"/>
        </w:rPr>
        <w:t>Do đó, cần thiết rà soát sửa đổi, bổ sung các quy định trong lĩnh vực chứng khoán hiện nay để phù hợp với tình hình thị trường, tháo gỡ khó khăn cho các doanh nghiệp niêm yết trên TTCK.</w:t>
      </w:r>
    </w:p>
    <w:p w:rsidR="00A55BAB" w:rsidRPr="004A56B3" w:rsidRDefault="00A55BAB" w:rsidP="00F86EF5">
      <w:pPr>
        <w:widowControl w:val="0"/>
        <w:tabs>
          <w:tab w:val="right" w:leader="dot" w:pos="7920"/>
        </w:tabs>
        <w:spacing w:before="120" w:after="120" w:line="252" w:lineRule="auto"/>
        <w:ind w:firstLine="720"/>
        <w:jc w:val="both"/>
        <w:rPr>
          <w:b/>
          <w:lang w:val="nl-NL"/>
        </w:rPr>
      </w:pPr>
      <w:r w:rsidRPr="004A56B3">
        <w:rPr>
          <w:b/>
          <w:lang w:val="nl-NL"/>
        </w:rPr>
        <w:t>2. Mục tiêu xây dựng chính sách</w:t>
      </w:r>
    </w:p>
    <w:p w:rsidR="005E5941" w:rsidRPr="004A56B3" w:rsidRDefault="00A55BAB" w:rsidP="00F86EF5">
      <w:pPr>
        <w:widowControl w:val="0"/>
        <w:tabs>
          <w:tab w:val="right" w:leader="dot" w:pos="7920"/>
        </w:tabs>
        <w:spacing w:before="120" w:after="120" w:line="252" w:lineRule="auto"/>
        <w:ind w:firstLine="720"/>
        <w:jc w:val="both"/>
        <w:rPr>
          <w:lang w:val="nl-NL"/>
        </w:rPr>
      </w:pPr>
      <w:r w:rsidRPr="004A56B3">
        <w:rPr>
          <w:lang w:val="nl-NL"/>
        </w:rPr>
        <w:t xml:space="preserve">Việc xây dựng Nghị định sửa đổi, bổ sung một số điều của Nghị định số 155/2020/NĐ-CP ngày 31/12/2020 </w:t>
      </w:r>
      <w:r w:rsidR="009511BF" w:rsidRPr="004A56B3">
        <w:rPr>
          <w:lang w:val="nl-NL"/>
        </w:rPr>
        <w:t xml:space="preserve">của Chính phủ </w:t>
      </w:r>
      <w:r w:rsidRPr="004A56B3">
        <w:rPr>
          <w:lang w:val="nl-NL"/>
        </w:rPr>
        <w:t xml:space="preserve">quy định chi tiết thi hành một số điều của Luật Chứng khoán là nhằm đáp ứng tình hình thị trường và khắc phục một số khó khăn, vướng mắc trong thực tiễn hoạt động của </w:t>
      </w:r>
      <w:r w:rsidR="00C36C0F">
        <w:rPr>
          <w:lang w:val="nl-NL"/>
        </w:rPr>
        <w:t>TTCK</w:t>
      </w:r>
      <w:r w:rsidRPr="004A56B3">
        <w:rPr>
          <w:lang w:val="nl-NL"/>
        </w:rPr>
        <w:t xml:space="preserve">, tăng cường hiệu quả quản lý nhà nước về chứng khoán và </w:t>
      </w:r>
      <w:r w:rsidR="00C36C0F">
        <w:rPr>
          <w:lang w:val="nl-NL"/>
        </w:rPr>
        <w:t>TTCK</w:t>
      </w:r>
      <w:r w:rsidRPr="004A56B3">
        <w:rPr>
          <w:lang w:val="nl-NL"/>
        </w:rPr>
        <w:t xml:space="preserve">, bảo đảm </w:t>
      </w:r>
      <w:r w:rsidR="00C36C0F">
        <w:rPr>
          <w:lang w:val="nl-NL"/>
        </w:rPr>
        <w:t>TTCK</w:t>
      </w:r>
      <w:r w:rsidRPr="004A56B3">
        <w:rPr>
          <w:lang w:val="nl-NL"/>
        </w:rPr>
        <w:t xml:space="preserve"> hoạt động an toàn và hiệu quả.</w:t>
      </w:r>
    </w:p>
    <w:p w:rsidR="00A55BAB" w:rsidRPr="004A56B3" w:rsidRDefault="00A55BAB" w:rsidP="00F86EF5">
      <w:pPr>
        <w:widowControl w:val="0"/>
        <w:tabs>
          <w:tab w:val="right" w:leader="dot" w:pos="7920"/>
        </w:tabs>
        <w:spacing w:before="120" w:after="120" w:line="252" w:lineRule="auto"/>
        <w:ind w:firstLine="720"/>
        <w:jc w:val="both"/>
        <w:rPr>
          <w:b/>
          <w:lang w:val="nl-NL"/>
        </w:rPr>
      </w:pPr>
      <w:r w:rsidRPr="004A56B3">
        <w:rPr>
          <w:b/>
          <w:lang w:val="nl-NL"/>
        </w:rPr>
        <w:t>II. ĐÁNH GIÁ TÁC ĐỘNG CỦA CHÍNH SÁCH</w:t>
      </w:r>
    </w:p>
    <w:p w:rsidR="00A55BAB" w:rsidRPr="004A56B3" w:rsidRDefault="00A55BAB" w:rsidP="00F86EF5">
      <w:pPr>
        <w:widowControl w:val="0"/>
        <w:tabs>
          <w:tab w:val="right" w:leader="dot" w:pos="7920"/>
        </w:tabs>
        <w:spacing w:before="120" w:after="120" w:line="252" w:lineRule="auto"/>
        <w:ind w:firstLine="720"/>
        <w:jc w:val="both"/>
        <w:rPr>
          <w:b/>
          <w:lang w:val="nl-NL"/>
        </w:rPr>
      </w:pPr>
      <w:r w:rsidRPr="004A56B3">
        <w:rPr>
          <w:b/>
          <w:lang w:val="nl-NL"/>
        </w:rPr>
        <w:t xml:space="preserve">1. </w:t>
      </w:r>
      <w:r w:rsidR="0099742A" w:rsidRPr="004A56B3">
        <w:rPr>
          <w:b/>
          <w:lang w:val="nl-NL"/>
        </w:rPr>
        <w:t xml:space="preserve">Chính sách 1: </w:t>
      </w:r>
      <w:r w:rsidRPr="004A56B3">
        <w:rPr>
          <w:b/>
          <w:lang w:val="nl-NL"/>
        </w:rPr>
        <w:t>Chính sách về duy trì niêm yết cổ phiếu</w:t>
      </w:r>
      <w:r w:rsidR="0099742A" w:rsidRPr="004A56B3">
        <w:rPr>
          <w:b/>
          <w:lang w:val="nl-NL"/>
        </w:rPr>
        <w:t xml:space="preserve"> trong một số </w:t>
      </w:r>
      <w:r w:rsidR="0099742A" w:rsidRPr="004A56B3">
        <w:rPr>
          <w:b/>
          <w:lang w:val="nl-NL"/>
        </w:rPr>
        <w:lastRenderedPageBreak/>
        <w:t>trường hợp đặc biệt</w:t>
      </w:r>
    </w:p>
    <w:p w:rsidR="00A55BAB" w:rsidRPr="004A56B3" w:rsidRDefault="00A55BAB" w:rsidP="00F86EF5">
      <w:pPr>
        <w:widowControl w:val="0"/>
        <w:tabs>
          <w:tab w:val="right" w:leader="dot" w:pos="7920"/>
        </w:tabs>
        <w:spacing w:before="120" w:after="120" w:line="252" w:lineRule="auto"/>
        <w:ind w:firstLine="720"/>
        <w:jc w:val="both"/>
        <w:rPr>
          <w:b/>
          <w:i/>
          <w:lang w:val="nl-NL"/>
        </w:rPr>
      </w:pPr>
      <w:r w:rsidRPr="004A56B3">
        <w:rPr>
          <w:b/>
          <w:i/>
          <w:lang w:val="nl-NL"/>
        </w:rPr>
        <w:t xml:space="preserve">1.1. Xác định vấn đề </w:t>
      </w:r>
      <w:r w:rsidR="007B2D2B" w:rsidRPr="004A56B3">
        <w:rPr>
          <w:b/>
          <w:i/>
          <w:lang w:val="nl-NL"/>
        </w:rPr>
        <w:t>và mục tiêu giải quyết vấn đề</w:t>
      </w:r>
    </w:p>
    <w:p w:rsidR="007B2D2B" w:rsidRPr="004A56B3" w:rsidRDefault="007B2D2B" w:rsidP="00F86EF5">
      <w:pPr>
        <w:widowControl w:val="0"/>
        <w:tabs>
          <w:tab w:val="right" w:leader="dot" w:pos="7920"/>
        </w:tabs>
        <w:spacing w:before="120" w:after="120" w:line="252" w:lineRule="auto"/>
        <w:ind w:firstLine="720"/>
        <w:jc w:val="both"/>
        <w:rPr>
          <w:i/>
          <w:lang w:val="nl-NL"/>
        </w:rPr>
      </w:pPr>
      <w:r w:rsidRPr="004A56B3">
        <w:rPr>
          <w:i/>
          <w:lang w:val="nl-NL"/>
        </w:rPr>
        <w:t>a. Xác định vấn đề</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4A56B3">
        <w:rPr>
          <w:lang w:val="nl-NL"/>
        </w:rPr>
        <w:t xml:space="preserve">- Điều 120 Nghị định 155/2020/NĐ-CP hiện chỉ quy định về việc hủy niêm yết bắt buộc đối với cổ phiếu, chứng chỉ quỹ, trái phiếu, chứng quyền có bảo đảm và chưa có quy định về việc trong một số trường hợp đặc biệt cần duy trì việc niêm yết cổ phiếu. </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4A56B3">
        <w:rPr>
          <w:lang w:val="nl-NL"/>
        </w:rPr>
        <w:t xml:space="preserve">- Trong khi đó, trong thời gian vừa qua, một số công ty đại chúng quy mô lớn trên TTCK chịu ảnh hưởng của </w:t>
      </w:r>
      <w:r w:rsidR="005266B0">
        <w:rPr>
          <w:lang w:val="nl-NL"/>
        </w:rPr>
        <w:t>đ</w:t>
      </w:r>
      <w:r w:rsidRPr="004A56B3">
        <w:rPr>
          <w:lang w:val="nl-NL"/>
        </w:rPr>
        <w:t xml:space="preserve">ại dịch Covid-19 dẫn đến các doanh nghiệp này gặp khó khăn trong hoạt động kinh doanh, có thể bị hủy niêm yết cổ phiếu trên TTCK do kết quả sản xuất, kinh doanh thua lỗ trong nhiều năm. Tuy nhiên, nếu để các doanh nghiệp </w:t>
      </w:r>
      <w:r w:rsidR="00787F6F" w:rsidRPr="004A56B3">
        <w:rPr>
          <w:lang w:val="nl-NL"/>
        </w:rPr>
        <w:t xml:space="preserve">lớn, </w:t>
      </w:r>
      <w:r w:rsidR="00B50882" w:rsidRPr="004A56B3">
        <w:rPr>
          <w:lang w:val="nl-NL"/>
        </w:rPr>
        <w:t>đóng</w:t>
      </w:r>
      <w:r w:rsidR="00787F6F" w:rsidRPr="004A56B3">
        <w:rPr>
          <w:lang w:val="nl-NL"/>
        </w:rPr>
        <w:t xml:space="preserve"> vai trò quan trọng trong nền kinh tế - xã hội của quốc gia </w:t>
      </w:r>
      <w:r w:rsidRPr="004A56B3">
        <w:rPr>
          <w:lang w:val="nl-NL"/>
        </w:rPr>
        <w:t>bị hủy niêm yết sẽ dẫn tới việc doanh nghiệp sẽ mất nhiều thời gian hơn để phục hồi hoạt động kinh doanh và được niêm yết trở lại trên TTCK, thậm chí, có thể rơi vào tình trạng phá sản, từ đó, có thể ảnh hưởng rất lớn tới tình hình kinh tế - xã hội của quốc gia.</w:t>
      </w:r>
    </w:p>
    <w:p w:rsidR="00A55BAB" w:rsidRPr="004A56B3" w:rsidRDefault="007B2D2B" w:rsidP="00F86EF5">
      <w:pPr>
        <w:widowControl w:val="0"/>
        <w:tabs>
          <w:tab w:val="right" w:leader="dot" w:pos="7920"/>
        </w:tabs>
        <w:spacing w:before="120" w:after="120" w:line="252" w:lineRule="auto"/>
        <w:ind w:firstLine="720"/>
        <w:jc w:val="both"/>
        <w:rPr>
          <w:i/>
          <w:lang w:val="nl-NL"/>
        </w:rPr>
      </w:pPr>
      <w:r w:rsidRPr="004A56B3">
        <w:rPr>
          <w:i/>
          <w:lang w:val="nl-NL"/>
        </w:rPr>
        <w:t>b.</w:t>
      </w:r>
      <w:r w:rsidR="00A55BAB" w:rsidRPr="004A56B3">
        <w:rPr>
          <w:i/>
          <w:lang w:val="nl-NL"/>
        </w:rPr>
        <w:t xml:space="preserve"> Mục tiêu giải quyết vấn đề</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4A56B3">
        <w:rPr>
          <w:lang w:val="nl-NL"/>
        </w:rPr>
        <w:t xml:space="preserve">Bổ sung quy định về việc đối với một số doanh nghiệp đặc biệt, có </w:t>
      </w:r>
      <w:r w:rsidR="003D3986">
        <w:rPr>
          <w:lang w:val="nl-NL"/>
        </w:rPr>
        <w:t>thể</w:t>
      </w:r>
      <w:r w:rsidRPr="004A56B3">
        <w:rPr>
          <w:lang w:val="nl-NL"/>
        </w:rPr>
        <w:t xml:space="preserve"> ảnh hưởng lớn tới tình hình</w:t>
      </w:r>
      <w:r w:rsidR="00B50882" w:rsidRPr="004A56B3">
        <w:rPr>
          <w:lang w:val="nl-NL"/>
        </w:rPr>
        <w:t xml:space="preserve"> an ninh,</w:t>
      </w:r>
      <w:r w:rsidRPr="004A56B3">
        <w:rPr>
          <w:lang w:val="nl-NL"/>
        </w:rPr>
        <w:t xml:space="preserve"> kinh tế</w:t>
      </w:r>
      <w:r w:rsidR="00B50882" w:rsidRPr="004A56B3">
        <w:rPr>
          <w:lang w:val="nl-NL"/>
        </w:rPr>
        <w:t xml:space="preserve">, </w:t>
      </w:r>
      <w:r w:rsidR="003D3986">
        <w:rPr>
          <w:lang w:val="nl-NL"/>
        </w:rPr>
        <w:t xml:space="preserve">chính trị, </w:t>
      </w:r>
      <w:r w:rsidRPr="004A56B3">
        <w:rPr>
          <w:lang w:val="nl-NL"/>
        </w:rPr>
        <w:t xml:space="preserve">xã hội của quốc gia, </w:t>
      </w:r>
      <w:r w:rsidR="00787F6F" w:rsidRPr="004A56B3">
        <w:rPr>
          <w:lang w:val="nl-NL"/>
        </w:rPr>
        <w:t xml:space="preserve">Chính phủ </w:t>
      </w:r>
      <w:r w:rsidRPr="004A56B3">
        <w:rPr>
          <w:lang w:val="nl-NL"/>
        </w:rPr>
        <w:t>có thể xem xét</w:t>
      </w:r>
      <w:r w:rsidR="00787F6F" w:rsidRPr="004A56B3">
        <w:rPr>
          <w:lang w:val="nl-NL"/>
        </w:rPr>
        <w:t>, quyết định việc</w:t>
      </w:r>
      <w:r w:rsidRPr="004A56B3">
        <w:rPr>
          <w:lang w:val="nl-NL"/>
        </w:rPr>
        <w:t xml:space="preserve"> duy trì niêm yết cổ phiếu của </w:t>
      </w:r>
      <w:r w:rsidR="001415D1" w:rsidRPr="004A56B3">
        <w:rPr>
          <w:lang w:val="nl-NL"/>
        </w:rPr>
        <w:t xml:space="preserve">các </w:t>
      </w:r>
      <w:r w:rsidRPr="004A56B3">
        <w:rPr>
          <w:lang w:val="nl-NL"/>
        </w:rPr>
        <w:t>doanh nghiệp</w:t>
      </w:r>
      <w:r w:rsidR="001415D1" w:rsidRPr="004A56B3">
        <w:rPr>
          <w:lang w:val="nl-NL"/>
        </w:rPr>
        <w:t xml:space="preserve"> này</w:t>
      </w:r>
      <w:r w:rsidRPr="004A56B3">
        <w:rPr>
          <w:lang w:val="nl-NL"/>
        </w:rPr>
        <w:t>.</w:t>
      </w:r>
    </w:p>
    <w:p w:rsidR="00F84D15" w:rsidRPr="004A56B3" w:rsidRDefault="00A55BAB" w:rsidP="00F86EF5">
      <w:pPr>
        <w:widowControl w:val="0"/>
        <w:tabs>
          <w:tab w:val="right" w:leader="dot" w:pos="7920"/>
        </w:tabs>
        <w:spacing w:before="120" w:after="120" w:line="252" w:lineRule="auto"/>
        <w:ind w:firstLine="720"/>
        <w:jc w:val="both"/>
        <w:rPr>
          <w:b/>
          <w:i/>
          <w:lang w:val="nl-NL"/>
        </w:rPr>
      </w:pPr>
      <w:r w:rsidRPr="004A56B3">
        <w:rPr>
          <w:b/>
          <w:i/>
          <w:lang w:val="nl-NL"/>
        </w:rPr>
        <w:t>1.</w:t>
      </w:r>
      <w:r w:rsidR="00F84D15" w:rsidRPr="004A56B3">
        <w:rPr>
          <w:b/>
          <w:i/>
          <w:lang w:val="nl-NL"/>
        </w:rPr>
        <w:t>2</w:t>
      </w:r>
      <w:r w:rsidRPr="004A56B3">
        <w:rPr>
          <w:b/>
          <w:i/>
          <w:lang w:val="nl-NL"/>
        </w:rPr>
        <w:t xml:space="preserve">. Các giải pháp </w:t>
      </w:r>
      <w:r w:rsidR="00F84D15" w:rsidRPr="004A56B3">
        <w:rPr>
          <w:b/>
          <w:i/>
          <w:lang w:val="nl-NL"/>
        </w:rPr>
        <w:t xml:space="preserve">và đánh giá tác động của các giải pháp đối với đối tượng chịu sự tác động trực tiếp của chính sách và các đối tượng khác có liên quan </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7A2159">
        <w:rPr>
          <w:lang w:val="nl-NL"/>
        </w:rPr>
        <w:t>- Giải pháp 1</w:t>
      </w:r>
      <w:r w:rsidRPr="004A56B3">
        <w:rPr>
          <w:i/>
          <w:lang w:val="nl-NL"/>
        </w:rPr>
        <w:t>:</w:t>
      </w:r>
      <w:r w:rsidRPr="004A56B3">
        <w:rPr>
          <w:lang w:val="nl-NL"/>
        </w:rPr>
        <w:t xml:space="preserve"> Giữ nguyên như Nghị định số 155/2020/NĐ-CP.</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4A56B3">
        <w:rPr>
          <w:i/>
          <w:lang w:val="nl-NL"/>
        </w:rPr>
        <w:tab/>
        <w:t xml:space="preserve">- </w:t>
      </w:r>
      <w:r w:rsidRPr="007A2159">
        <w:rPr>
          <w:lang w:val="nl-NL"/>
        </w:rPr>
        <w:t>Giải pháp 2</w:t>
      </w:r>
      <w:r w:rsidRPr="004A56B3">
        <w:rPr>
          <w:i/>
          <w:lang w:val="nl-NL"/>
        </w:rPr>
        <w:t xml:space="preserve">: </w:t>
      </w:r>
      <w:r w:rsidRPr="004A56B3">
        <w:rPr>
          <w:lang w:val="nl-NL"/>
        </w:rPr>
        <w:t>Bộ Tài chính trình Chính phủ sửa đổi, bổ sung quy định theo hướng trường hợp đặc biệt cần duy trì niêm yết cổ phiếu do Chính phủ xem xét, quyết định.</w:t>
      </w:r>
    </w:p>
    <w:p w:rsidR="00CF3577" w:rsidRPr="004A56B3" w:rsidRDefault="00A07AF7" w:rsidP="00F86EF5">
      <w:pPr>
        <w:widowControl w:val="0"/>
        <w:tabs>
          <w:tab w:val="right" w:leader="dot" w:pos="7920"/>
        </w:tabs>
        <w:spacing w:before="120" w:after="120" w:line="252" w:lineRule="auto"/>
        <w:ind w:firstLine="720"/>
        <w:jc w:val="both"/>
        <w:rPr>
          <w:lang w:val="nl-NL"/>
        </w:rPr>
      </w:pPr>
      <w:r w:rsidRPr="004A56B3">
        <w:rPr>
          <w:i/>
          <w:lang w:val="nl-NL"/>
        </w:rPr>
        <w:t>a.</w:t>
      </w:r>
      <w:r w:rsidR="00A55BAB" w:rsidRPr="004A56B3">
        <w:rPr>
          <w:i/>
          <w:lang w:val="nl-NL"/>
        </w:rPr>
        <w:t xml:space="preserve"> Giải pháp 1</w:t>
      </w:r>
    </w:p>
    <w:p w:rsidR="00266E8D" w:rsidRPr="004A56B3" w:rsidRDefault="00266E8D" w:rsidP="00F86EF5">
      <w:pPr>
        <w:widowControl w:val="0"/>
        <w:tabs>
          <w:tab w:val="right" w:leader="dot" w:pos="7920"/>
        </w:tabs>
        <w:spacing w:before="120" w:after="120" w:line="252" w:lineRule="auto"/>
        <w:ind w:firstLine="720"/>
        <w:jc w:val="both"/>
        <w:rPr>
          <w:lang w:val="pt-BR"/>
        </w:rPr>
      </w:pPr>
      <w:r w:rsidRPr="004A56B3">
        <w:rPr>
          <w:lang w:val="pt-BR"/>
        </w:rPr>
        <w:t xml:space="preserve">(1) Tác động đối với hệ thống pháp luật: </w:t>
      </w:r>
    </w:p>
    <w:p w:rsidR="00266E8D" w:rsidRPr="004A56B3" w:rsidRDefault="00266E8D" w:rsidP="00F86EF5">
      <w:pPr>
        <w:widowControl w:val="0"/>
        <w:tabs>
          <w:tab w:val="right" w:leader="dot" w:pos="7920"/>
        </w:tabs>
        <w:spacing w:before="120" w:after="120" w:line="252" w:lineRule="auto"/>
        <w:ind w:firstLine="720"/>
        <w:jc w:val="both"/>
        <w:rPr>
          <w:lang w:val="pt-BR"/>
        </w:rPr>
      </w:pPr>
      <w:r w:rsidRPr="004A56B3">
        <w:rPr>
          <w:lang w:val="pt-BR"/>
        </w:rPr>
        <w:t xml:space="preserve">Giải pháp chính sách không ảnh hưởng tới quyền và nghĩa vụ của công dân theo Hiến pháp; không trái với các văn bản quy phạm pháp luật khác có liên quan. </w:t>
      </w:r>
    </w:p>
    <w:p w:rsidR="00BC7756" w:rsidRPr="004A56B3" w:rsidRDefault="00BC7756" w:rsidP="00F86EF5">
      <w:pPr>
        <w:widowControl w:val="0"/>
        <w:tabs>
          <w:tab w:val="right" w:leader="dot" w:pos="7920"/>
        </w:tabs>
        <w:spacing w:before="120" w:after="120" w:line="252" w:lineRule="auto"/>
        <w:ind w:firstLine="720"/>
        <w:jc w:val="both"/>
        <w:rPr>
          <w:lang w:val="nl-NL"/>
        </w:rPr>
      </w:pPr>
      <w:r w:rsidRPr="004A56B3">
        <w:rPr>
          <w:lang w:val="nl-NL"/>
        </w:rPr>
        <w:t>(</w:t>
      </w:r>
      <w:r w:rsidR="00266E8D" w:rsidRPr="004A56B3">
        <w:rPr>
          <w:lang w:val="nl-NL"/>
        </w:rPr>
        <w:t>2</w:t>
      </w:r>
      <w:r w:rsidRPr="004A56B3">
        <w:rPr>
          <w:lang w:val="nl-NL"/>
        </w:rPr>
        <w:t>) Tác động về kinh tế xã hội</w:t>
      </w:r>
      <w:r w:rsidR="00E127F6" w:rsidRPr="004A56B3">
        <w:rPr>
          <w:lang w:val="nl-NL"/>
        </w:rPr>
        <w:t>:</w:t>
      </w:r>
    </w:p>
    <w:p w:rsidR="00BC7756" w:rsidRPr="000342D3" w:rsidRDefault="00BC7756" w:rsidP="00F86EF5">
      <w:pPr>
        <w:widowControl w:val="0"/>
        <w:tabs>
          <w:tab w:val="right" w:leader="dot" w:pos="7920"/>
        </w:tabs>
        <w:spacing w:before="120" w:after="120" w:line="252" w:lineRule="auto"/>
        <w:ind w:firstLine="720"/>
        <w:jc w:val="both"/>
        <w:rPr>
          <w:i/>
          <w:lang w:val="nl-NL"/>
        </w:rPr>
      </w:pPr>
      <w:r w:rsidRPr="000342D3">
        <w:rPr>
          <w:i/>
          <w:lang w:val="nl-NL"/>
        </w:rPr>
        <w:t>(i) Tác động tích cực</w:t>
      </w:r>
    </w:p>
    <w:p w:rsidR="0011709C" w:rsidRPr="004A56B3" w:rsidRDefault="00F41882" w:rsidP="00F86EF5">
      <w:pPr>
        <w:widowControl w:val="0"/>
        <w:tabs>
          <w:tab w:val="left" w:pos="993"/>
        </w:tabs>
        <w:spacing w:before="120" w:after="120" w:line="252" w:lineRule="auto"/>
        <w:ind w:right="-28" w:firstLine="709"/>
        <w:jc w:val="both"/>
        <w:rPr>
          <w:lang w:val="nl-NL"/>
        </w:rPr>
      </w:pPr>
      <w:r w:rsidRPr="004A56B3">
        <w:rPr>
          <w:lang w:val="nl-NL"/>
        </w:rPr>
        <w:t xml:space="preserve">Việc hủy niêm yết cổ phiếu bắt buộc đối với các cổ phiếu của các công ty đã niêm yết tại các </w:t>
      </w:r>
      <w:r w:rsidR="001072E8">
        <w:rPr>
          <w:lang w:val="nl-NL"/>
        </w:rPr>
        <w:t>Sở giao dịch</w:t>
      </w:r>
      <w:r w:rsidRPr="004A56B3">
        <w:rPr>
          <w:lang w:val="nl-NL"/>
        </w:rPr>
        <w:t xml:space="preserve"> chứng khoán (HOSE và HNX) </w:t>
      </w:r>
      <w:r w:rsidR="00416E32" w:rsidRPr="004A56B3">
        <w:rPr>
          <w:lang w:val="nl-NL"/>
        </w:rPr>
        <w:t>sẽ giúp</w:t>
      </w:r>
      <w:r w:rsidRPr="004A56B3">
        <w:rPr>
          <w:lang w:val="nl-NL"/>
        </w:rPr>
        <w:t xml:space="preserve"> loại bỏ các </w:t>
      </w:r>
      <w:r w:rsidR="00416E32" w:rsidRPr="004A56B3">
        <w:rPr>
          <w:lang w:val="nl-NL"/>
        </w:rPr>
        <w:lastRenderedPageBreak/>
        <w:t xml:space="preserve">doanh nghiệp </w:t>
      </w:r>
      <w:r w:rsidRPr="004A56B3">
        <w:rPr>
          <w:lang w:val="nl-NL"/>
        </w:rPr>
        <w:t xml:space="preserve">yếu kém về hoạt động sản xuất kinh doanh, hoặc không tuân thủ các quy định pháp luật … dẫn đến vi phạm các điều kiện về niêm yết chứng khoán và không còn đáp ứng đủ các điều kiện về niêm yết cổ phiếu trên các </w:t>
      </w:r>
      <w:r w:rsidR="001072E8">
        <w:rPr>
          <w:lang w:val="nl-NL"/>
        </w:rPr>
        <w:t>Sở giao dịch</w:t>
      </w:r>
      <w:r w:rsidRPr="004A56B3">
        <w:rPr>
          <w:lang w:val="nl-NL"/>
        </w:rPr>
        <w:t xml:space="preserve"> chứng khoán theo quy định</w:t>
      </w:r>
      <w:r w:rsidR="00B12735">
        <w:rPr>
          <w:lang w:val="nl-NL"/>
        </w:rPr>
        <w:t xml:space="preserve"> </w:t>
      </w:r>
      <w:r w:rsidRPr="004A56B3">
        <w:rPr>
          <w:lang w:val="nl-NL"/>
        </w:rPr>
        <w:t xml:space="preserve">..., giúp thanh lọc cổ phiếu, bảo vệ quyền lợi của nhà đầu tư, làm lành mạnh thị trường chứng khoán, lành mạnh hóa nền kinh tế… </w:t>
      </w:r>
    </w:p>
    <w:p w:rsidR="002C1A9A" w:rsidRPr="004A56B3" w:rsidRDefault="00F31A48" w:rsidP="00F86EF5">
      <w:pPr>
        <w:widowControl w:val="0"/>
        <w:spacing w:before="120" w:after="120" w:line="252" w:lineRule="auto"/>
        <w:ind w:firstLine="720"/>
        <w:jc w:val="both"/>
        <w:rPr>
          <w:rFonts w:eastAsia="Calibri"/>
          <w:bCs/>
          <w:szCs w:val="22"/>
          <w:lang w:val="nl-NL"/>
        </w:rPr>
      </w:pPr>
      <w:r w:rsidRPr="004A56B3">
        <w:rPr>
          <w:rFonts w:eastAsia="Calibri"/>
          <w:bCs/>
          <w:szCs w:val="22"/>
          <w:lang w:val="nl-NL"/>
        </w:rPr>
        <w:t>Ngoài ra, v</w:t>
      </w:r>
      <w:r w:rsidR="00A63BE9" w:rsidRPr="004A56B3">
        <w:rPr>
          <w:rFonts w:eastAsia="Calibri"/>
          <w:bCs/>
          <w:szCs w:val="22"/>
          <w:lang w:val="nl-NL"/>
        </w:rPr>
        <w:t xml:space="preserve">iệc </w:t>
      </w:r>
      <w:r w:rsidR="00FF573F" w:rsidRPr="004A56B3">
        <w:rPr>
          <w:rFonts w:eastAsia="Calibri"/>
          <w:bCs/>
          <w:szCs w:val="22"/>
          <w:lang w:val="nl-NL"/>
        </w:rPr>
        <w:t xml:space="preserve">áp dụng chung quy định về </w:t>
      </w:r>
      <w:r w:rsidR="00FF573F" w:rsidRPr="004A56B3">
        <w:rPr>
          <w:lang w:val="nl-NL"/>
        </w:rPr>
        <w:t xml:space="preserve">hủy niêm yết cổ phiếu bắt buộc đối với các doanh nghiệp </w:t>
      </w:r>
      <w:r w:rsidR="006206AE" w:rsidRPr="004A56B3">
        <w:rPr>
          <w:lang w:val="nl-NL"/>
        </w:rPr>
        <w:t xml:space="preserve">sản xuất kinh doanh </w:t>
      </w:r>
      <w:r w:rsidR="00FF573F" w:rsidRPr="004A56B3">
        <w:rPr>
          <w:lang w:val="nl-NL"/>
        </w:rPr>
        <w:t>yếu kém, hoặc không tuân thủ các quy định pháp luật …</w:t>
      </w:r>
      <w:r w:rsidR="00467B36" w:rsidRPr="004A56B3">
        <w:rPr>
          <w:lang w:val="nl-NL"/>
        </w:rPr>
        <w:t xml:space="preserve"> còn</w:t>
      </w:r>
      <w:r w:rsidR="00FF573F" w:rsidRPr="004A56B3">
        <w:rPr>
          <w:rFonts w:eastAsia="Calibri"/>
          <w:bCs/>
          <w:szCs w:val="22"/>
          <w:lang w:val="nl-NL"/>
        </w:rPr>
        <w:t xml:space="preserve"> có tác dụng</w:t>
      </w:r>
      <w:r w:rsidR="00A63BE9" w:rsidRPr="004A56B3">
        <w:rPr>
          <w:rFonts w:eastAsia="Calibri"/>
          <w:bCs/>
          <w:szCs w:val="22"/>
          <w:lang w:val="nl-NL"/>
        </w:rPr>
        <w:t xml:space="preserve"> </w:t>
      </w:r>
      <w:r w:rsidR="00FF573F" w:rsidRPr="004A56B3">
        <w:rPr>
          <w:rFonts w:eastAsia="Calibri"/>
          <w:bCs/>
          <w:szCs w:val="22"/>
          <w:lang w:val="nl-NL"/>
        </w:rPr>
        <w:t>tạo ra sự</w:t>
      </w:r>
      <w:r w:rsidR="00A63BE9" w:rsidRPr="004A56B3">
        <w:rPr>
          <w:rFonts w:eastAsia="Calibri"/>
          <w:bCs/>
          <w:szCs w:val="22"/>
          <w:lang w:val="nl-NL"/>
        </w:rPr>
        <w:t xml:space="preserve"> công bằng và bình đẳng giữa các thành phần kinh tế, giữa các doanh nghiệp</w:t>
      </w:r>
      <w:r w:rsidR="00FF573F" w:rsidRPr="004A56B3">
        <w:rPr>
          <w:rFonts w:eastAsia="Calibri"/>
          <w:bCs/>
          <w:szCs w:val="22"/>
          <w:lang w:val="nl-NL"/>
        </w:rPr>
        <w:t xml:space="preserve"> trong nền kinh tế, </w:t>
      </w:r>
      <w:r w:rsidR="00A63BE9" w:rsidRPr="004A56B3">
        <w:rPr>
          <w:rFonts w:eastAsia="Calibri"/>
          <w:bCs/>
          <w:szCs w:val="22"/>
          <w:lang w:val="nl-NL"/>
        </w:rPr>
        <w:t>đảm bảo nguyên tắc hoạt động cạnh tranh trong đầu tư kinh doanh</w:t>
      </w:r>
      <w:r w:rsidR="00FF573F" w:rsidRPr="004A56B3">
        <w:rPr>
          <w:rFonts w:eastAsia="Calibri"/>
          <w:bCs/>
          <w:szCs w:val="22"/>
          <w:lang w:val="nl-NL"/>
        </w:rPr>
        <w:t xml:space="preserve">, nguyên tắc hoạt động về chứng khoán và thị trường chứng khoán </w:t>
      </w:r>
      <w:r w:rsidR="00A63BE9" w:rsidRPr="004A56B3">
        <w:rPr>
          <w:rFonts w:eastAsia="Calibri"/>
          <w:bCs/>
          <w:szCs w:val="22"/>
          <w:lang w:val="nl-NL"/>
        </w:rPr>
        <w:t>đã được nêu tại Luật Chứng khoán, Luật Doanh nghiệp, Luật cạnh tranh.</w:t>
      </w:r>
    </w:p>
    <w:p w:rsidR="00CF3577" w:rsidRPr="000342D3" w:rsidRDefault="00BC7756" w:rsidP="00F86EF5">
      <w:pPr>
        <w:widowControl w:val="0"/>
        <w:tabs>
          <w:tab w:val="right" w:leader="dot" w:pos="7920"/>
        </w:tabs>
        <w:spacing w:before="120" w:after="120" w:line="252" w:lineRule="auto"/>
        <w:ind w:firstLine="720"/>
        <w:jc w:val="both"/>
        <w:rPr>
          <w:i/>
          <w:lang w:val="nl-NL"/>
        </w:rPr>
      </w:pPr>
      <w:r w:rsidRPr="000342D3">
        <w:rPr>
          <w:i/>
          <w:lang w:val="nl-NL"/>
        </w:rPr>
        <w:t xml:space="preserve">(ii) </w:t>
      </w:r>
      <w:r w:rsidR="00CF3577" w:rsidRPr="000342D3">
        <w:rPr>
          <w:i/>
          <w:lang w:val="nl-NL"/>
        </w:rPr>
        <w:t>Tác động tiêu cực</w:t>
      </w:r>
    </w:p>
    <w:p w:rsidR="00C06040" w:rsidRPr="004A56B3" w:rsidRDefault="00C06040" w:rsidP="00F86EF5">
      <w:pPr>
        <w:widowControl w:val="0"/>
        <w:spacing w:before="120" w:after="120" w:line="252" w:lineRule="auto"/>
        <w:ind w:right="-28" w:firstLine="709"/>
        <w:jc w:val="both"/>
        <w:rPr>
          <w:rFonts w:eastAsia="Calibri"/>
          <w:szCs w:val="22"/>
          <w:lang w:val="pt-BR"/>
        </w:rPr>
      </w:pPr>
      <w:r w:rsidRPr="004A56B3">
        <w:rPr>
          <w:rFonts w:eastAsia="Calibri"/>
          <w:szCs w:val="22"/>
          <w:lang w:val="pt-BR"/>
        </w:rPr>
        <w:t>Tác động tiêu cực của giải pháp 1 đã được Ủy ban Quản lý vốn Nhà nước tại Doanh nghiệp (</w:t>
      </w:r>
      <w:r w:rsidR="00ED3E84" w:rsidRPr="004A56B3">
        <w:rPr>
          <w:rFonts w:eastAsia="Calibri"/>
          <w:szCs w:val="22"/>
          <w:lang w:val="pt-BR"/>
        </w:rPr>
        <w:t>UBQLVNN</w:t>
      </w:r>
      <w:r w:rsidRPr="004A56B3">
        <w:rPr>
          <w:rFonts w:eastAsia="Calibri"/>
          <w:szCs w:val="22"/>
          <w:lang w:val="pt-BR"/>
        </w:rPr>
        <w:t xml:space="preserve">) đánh giá cụ thể tại </w:t>
      </w:r>
      <w:r w:rsidR="001E19DF" w:rsidRPr="004A56B3">
        <w:rPr>
          <w:rFonts w:eastAsia="Calibri"/>
          <w:szCs w:val="22"/>
          <w:lang w:val="pt-BR"/>
        </w:rPr>
        <w:t>Công văn</w:t>
      </w:r>
      <w:r w:rsidRPr="004A56B3">
        <w:rPr>
          <w:rFonts w:eastAsia="Calibri"/>
          <w:szCs w:val="22"/>
          <w:lang w:val="pt-BR"/>
        </w:rPr>
        <w:t xml:space="preserve"> số 624/</w:t>
      </w:r>
      <w:r w:rsidR="00ED3E84" w:rsidRPr="004A56B3">
        <w:rPr>
          <w:rFonts w:eastAsia="Calibri"/>
          <w:szCs w:val="22"/>
          <w:lang w:val="pt-BR"/>
        </w:rPr>
        <w:t>UBQLV</w:t>
      </w:r>
      <w:r w:rsidRPr="004A56B3">
        <w:rPr>
          <w:rFonts w:eastAsia="Calibri"/>
          <w:szCs w:val="22"/>
          <w:lang w:val="pt-BR"/>
        </w:rPr>
        <w:t>-CNHT ngày 03/04/2024, cụ thể như sau:</w:t>
      </w:r>
    </w:p>
    <w:p w:rsidR="001B4365" w:rsidRPr="004A56B3" w:rsidRDefault="00CD7DAC" w:rsidP="00F86EF5">
      <w:pPr>
        <w:widowControl w:val="0"/>
        <w:spacing w:before="120" w:after="120" w:line="252" w:lineRule="auto"/>
        <w:ind w:right="-28" w:firstLine="709"/>
        <w:jc w:val="both"/>
        <w:rPr>
          <w:rFonts w:eastAsia="Calibri"/>
          <w:szCs w:val="22"/>
          <w:lang w:val="pt-BR"/>
        </w:rPr>
      </w:pPr>
      <w:r w:rsidRPr="004A56B3">
        <w:rPr>
          <w:rFonts w:eastAsia="Calibri"/>
          <w:szCs w:val="22"/>
          <w:lang w:val="pt-BR"/>
        </w:rPr>
        <w:t>T</w:t>
      </w:r>
      <w:r w:rsidR="008C1953">
        <w:rPr>
          <w:rFonts w:eastAsia="Calibri"/>
          <w:szCs w:val="22"/>
          <w:lang w:val="vi-VN"/>
        </w:rPr>
        <w:t>rường</w:t>
      </w:r>
      <w:r w:rsidRPr="004A56B3">
        <w:rPr>
          <w:rFonts w:eastAsia="Calibri"/>
          <w:szCs w:val="22"/>
          <w:lang w:val="pt-BR"/>
        </w:rPr>
        <w:t xml:space="preserve"> hợp giữ nguyên quy định về hủy niêm yết cổ phiếu như tại Nghị định 155/2020/NĐ-CP hiện nay sẽ dẫn tới việc doanh nghiệp sẽ phải hủy niêm yết bắt buộc. </w:t>
      </w:r>
      <w:r w:rsidR="001B4365" w:rsidRPr="004A56B3">
        <w:rPr>
          <w:rFonts w:eastAsia="Calibri"/>
          <w:szCs w:val="22"/>
          <w:lang w:val="pt-BR"/>
        </w:rPr>
        <w:t xml:space="preserve">Việc hủy niêm yết </w:t>
      </w:r>
      <w:r w:rsidR="00D74EBC" w:rsidRPr="004A56B3">
        <w:rPr>
          <w:rFonts w:eastAsia="Calibri"/>
          <w:szCs w:val="22"/>
          <w:lang w:val="pt-BR"/>
        </w:rPr>
        <w:t xml:space="preserve">bắt buộc </w:t>
      </w:r>
      <w:r w:rsidR="001B4365" w:rsidRPr="004A56B3">
        <w:rPr>
          <w:rFonts w:eastAsia="Calibri"/>
          <w:szCs w:val="22"/>
          <w:lang w:val="pt-BR"/>
        </w:rPr>
        <w:t>là tác nhân dẫn đến giảm giá cổ phiếu</w:t>
      </w:r>
      <w:r w:rsidR="00D74EBC" w:rsidRPr="004A56B3">
        <w:rPr>
          <w:rFonts w:eastAsia="Calibri"/>
          <w:szCs w:val="22"/>
          <w:lang w:val="pt-BR"/>
        </w:rPr>
        <w:t xml:space="preserve"> của Doanh nghiệp Nhà nước</w:t>
      </w:r>
      <w:r w:rsidR="001B4365" w:rsidRPr="004A56B3">
        <w:rPr>
          <w:rFonts w:eastAsia="Calibri"/>
          <w:szCs w:val="22"/>
          <w:lang w:val="pt-BR"/>
        </w:rPr>
        <w:t xml:space="preserve"> </w:t>
      </w:r>
      <w:r w:rsidR="00D74EBC" w:rsidRPr="004A56B3">
        <w:rPr>
          <w:rFonts w:eastAsia="Calibri"/>
          <w:szCs w:val="22"/>
          <w:lang w:val="pt-BR"/>
        </w:rPr>
        <w:t>(</w:t>
      </w:r>
      <w:r w:rsidR="001B4365" w:rsidRPr="004A56B3">
        <w:rPr>
          <w:rFonts w:eastAsia="Calibri"/>
          <w:szCs w:val="22"/>
          <w:lang w:val="pt-BR"/>
        </w:rPr>
        <w:t>DNNN</w:t>
      </w:r>
      <w:r w:rsidR="00D74EBC" w:rsidRPr="004A56B3">
        <w:rPr>
          <w:rFonts w:eastAsia="Calibri"/>
          <w:szCs w:val="22"/>
          <w:lang w:val="pt-BR"/>
        </w:rPr>
        <w:t>)</w:t>
      </w:r>
      <w:r w:rsidR="001B4365" w:rsidRPr="004A56B3">
        <w:rPr>
          <w:rFonts w:eastAsia="Calibri"/>
          <w:szCs w:val="22"/>
          <w:lang w:val="pt-BR"/>
        </w:rPr>
        <w:t xml:space="preserve"> đang gặp khó khăn do bị ảnh hưởng các yếu tố khách quan, bất khả kháng, làm giảm tính thanh khoản trên thị trường, đồng thời làm giảm sút niềm tin của nhà đầu tư đối với cổ phiếu của doanh nghiệp, gây khó khăn cho doanh nghiệp trong việc triển khai thành công phương án huy động vốn.  </w:t>
      </w:r>
    </w:p>
    <w:p w:rsidR="001B4365" w:rsidRPr="004A56B3" w:rsidRDefault="001B4365" w:rsidP="00F86EF5">
      <w:pPr>
        <w:widowControl w:val="0"/>
        <w:spacing w:before="120" w:after="120" w:line="252" w:lineRule="auto"/>
        <w:ind w:right="-28" w:firstLine="709"/>
        <w:jc w:val="both"/>
        <w:rPr>
          <w:rFonts w:eastAsia="Calibri"/>
          <w:szCs w:val="22"/>
          <w:lang w:val="pt-BR"/>
        </w:rPr>
      </w:pPr>
      <w:r w:rsidRPr="004A56B3">
        <w:rPr>
          <w:rFonts w:eastAsia="Calibri"/>
          <w:szCs w:val="22"/>
          <w:lang w:val="pt-BR"/>
        </w:rPr>
        <w:t>DNNN sẽ khó duy trì hạn mức tín dụng hiện tại và tiếp cận các nguồn vốn tín dụng mới, khó duy trì được các cam kết, thỏa thuận đã đạt được với các đối tác trong thời gian qua về kế hoạch trả nợ và giảm giá dịch vụ.</w:t>
      </w:r>
    </w:p>
    <w:p w:rsidR="001B4365" w:rsidRPr="004A56B3" w:rsidRDefault="001B4365" w:rsidP="00F86EF5">
      <w:pPr>
        <w:widowControl w:val="0"/>
        <w:spacing w:before="120" w:after="120" w:line="252" w:lineRule="auto"/>
        <w:ind w:right="-28" w:firstLine="709"/>
        <w:jc w:val="both"/>
        <w:rPr>
          <w:rFonts w:eastAsia="Calibri"/>
          <w:szCs w:val="22"/>
          <w:lang w:val="pt-BR"/>
        </w:rPr>
      </w:pPr>
      <w:r w:rsidRPr="004A56B3">
        <w:rPr>
          <w:rFonts w:eastAsia="Calibri"/>
          <w:szCs w:val="22"/>
          <w:lang w:val="pt-BR"/>
        </w:rPr>
        <w:t xml:space="preserve">Việc hủy niêm yết sẽ ảnh hưởng đến việc thực hiện thành công các giải pháp tổng thể để đưa DNNN sớm vượt qua khó khăn, không lâm vào phá sản, phát triển bền vững, ảnh hưởng trực tiếp đến việc bảo toàn và phát triển vốn Nhà nước tại doanh nghiệp; đồng thời cũng chưa phát huy được vai trò của cổ đông lớn (Nhà nước) trong việc hỗ trợ doanh nghiệp khắc phục hậu quả để lại từ sự bất khả kháng.  </w:t>
      </w:r>
    </w:p>
    <w:p w:rsidR="001B4365" w:rsidRPr="004A56B3" w:rsidRDefault="001B4365" w:rsidP="00F86EF5">
      <w:pPr>
        <w:widowControl w:val="0"/>
        <w:spacing w:before="120" w:after="120" w:line="252" w:lineRule="auto"/>
        <w:ind w:right="-28" w:firstLine="709"/>
        <w:jc w:val="both"/>
        <w:rPr>
          <w:rFonts w:eastAsia="Calibri"/>
          <w:szCs w:val="22"/>
          <w:lang w:val="pt-BR"/>
        </w:rPr>
      </w:pPr>
      <w:r w:rsidRPr="004A56B3">
        <w:rPr>
          <w:rFonts w:eastAsia="Calibri"/>
          <w:szCs w:val="22"/>
          <w:lang w:val="pt-BR"/>
        </w:rPr>
        <w:t xml:space="preserve">Sau khi bị hủy niêm yết, đối với các DNNN đã bị lâm vào trình trang khó khăn tài chính, tiến trình để đưa cổ phiếu niêm yết trở lại trên </w:t>
      </w:r>
      <w:r w:rsidR="001072E8">
        <w:rPr>
          <w:rFonts w:eastAsia="Calibri"/>
          <w:szCs w:val="22"/>
          <w:lang w:val="pt-BR"/>
        </w:rPr>
        <w:t>Sở giao dịch</w:t>
      </w:r>
      <w:r w:rsidRPr="004A56B3">
        <w:rPr>
          <w:rFonts w:eastAsia="Calibri"/>
          <w:szCs w:val="22"/>
          <w:lang w:val="pt-BR"/>
        </w:rPr>
        <w:t xml:space="preserve"> chứng khoán sẽ mất nhiều thời gian, kéo theo các thiệt hại về hình ảnh, kinh tế, tài chính đối với DNNN, đối với </w:t>
      </w:r>
      <w:r w:rsidR="0033106C">
        <w:rPr>
          <w:rFonts w:eastAsia="Calibri"/>
          <w:szCs w:val="22"/>
          <w:lang w:val="vi-VN"/>
        </w:rPr>
        <w:t>c</w:t>
      </w:r>
      <w:r w:rsidRPr="004A56B3">
        <w:rPr>
          <w:rFonts w:eastAsia="Calibri"/>
          <w:szCs w:val="22"/>
          <w:lang w:val="pt-BR"/>
        </w:rPr>
        <w:t xml:space="preserve">ổ đông </w:t>
      </w:r>
      <w:r w:rsidR="0033106C">
        <w:rPr>
          <w:rFonts w:eastAsia="Calibri"/>
          <w:szCs w:val="22"/>
          <w:lang w:val="vi-VN"/>
        </w:rPr>
        <w:t>N</w:t>
      </w:r>
      <w:r w:rsidRPr="004A56B3">
        <w:rPr>
          <w:rFonts w:eastAsia="Calibri"/>
          <w:szCs w:val="22"/>
          <w:lang w:val="pt-BR"/>
        </w:rPr>
        <w:t>hà nước.</w:t>
      </w:r>
    </w:p>
    <w:p w:rsidR="001B4365" w:rsidRPr="004A56B3" w:rsidRDefault="0034061A" w:rsidP="00F86EF5">
      <w:pPr>
        <w:widowControl w:val="0"/>
        <w:spacing w:before="120" w:after="120" w:line="252" w:lineRule="auto"/>
        <w:ind w:firstLine="567"/>
        <w:jc w:val="both"/>
        <w:rPr>
          <w:rFonts w:eastAsia="Calibri"/>
          <w:bCs/>
          <w:lang w:val="pt-BR"/>
        </w:rPr>
      </w:pPr>
      <w:r w:rsidRPr="004A56B3">
        <w:rPr>
          <w:rFonts w:eastAsia="Calibri"/>
          <w:bCs/>
          <w:lang w:val="pt-BR"/>
        </w:rPr>
        <w:t>-</w:t>
      </w:r>
      <w:r w:rsidR="00F0289D" w:rsidRPr="004A56B3">
        <w:rPr>
          <w:rFonts w:eastAsia="Calibri"/>
          <w:bCs/>
          <w:lang w:val="pt-BR"/>
        </w:rPr>
        <w:t xml:space="preserve"> </w:t>
      </w:r>
      <w:r w:rsidR="001B4365" w:rsidRPr="004A56B3">
        <w:rPr>
          <w:rFonts w:eastAsia="Calibri"/>
          <w:bCs/>
          <w:lang w:val="pt-BR"/>
        </w:rPr>
        <w:t xml:space="preserve">Tác động đến </w:t>
      </w:r>
      <w:r w:rsidR="00AD3FB1" w:rsidRPr="004A56B3">
        <w:rPr>
          <w:rFonts w:eastAsia="Calibri"/>
          <w:bCs/>
          <w:lang w:val="pt-BR"/>
        </w:rPr>
        <w:t>c</w:t>
      </w:r>
      <w:r w:rsidR="001B4365" w:rsidRPr="004A56B3">
        <w:rPr>
          <w:rFonts w:eastAsia="Calibri"/>
          <w:bCs/>
          <w:lang w:val="pt-BR"/>
        </w:rPr>
        <w:t>ổ đông nhà nước</w:t>
      </w:r>
      <w:r w:rsidRPr="004A56B3">
        <w:rPr>
          <w:rFonts w:eastAsia="Calibri"/>
          <w:bCs/>
          <w:lang w:val="pt-BR"/>
        </w:rPr>
        <w:t>:</w:t>
      </w:r>
    </w:p>
    <w:p w:rsidR="001B4365" w:rsidRPr="004A56B3" w:rsidRDefault="001B4365" w:rsidP="00F86EF5">
      <w:pPr>
        <w:widowControl w:val="0"/>
        <w:spacing w:before="120" w:after="120" w:line="252" w:lineRule="auto"/>
        <w:ind w:firstLine="567"/>
        <w:jc w:val="both"/>
        <w:rPr>
          <w:rFonts w:eastAsia="Calibri"/>
          <w:lang w:val="pt-BR"/>
        </w:rPr>
      </w:pPr>
      <w:r w:rsidRPr="004A56B3">
        <w:rPr>
          <w:rFonts w:eastAsia="Calibri"/>
          <w:lang w:val="pt-BR"/>
        </w:rPr>
        <w:t xml:space="preserve">Việc không thể thực hiện đồng bộ các giải pháp tổng thể có thể làm trầm trọng thêm tình hình tài chính và suy giảm nặng nề khả năng thanh toán của </w:t>
      </w:r>
      <w:r w:rsidRPr="004A56B3">
        <w:rPr>
          <w:rFonts w:eastAsia="Calibri"/>
          <w:lang w:val="pt-BR"/>
        </w:rPr>
        <w:lastRenderedPageBreak/>
        <w:t>DNNN.</w:t>
      </w:r>
    </w:p>
    <w:p w:rsidR="001B4365" w:rsidRPr="004A56B3" w:rsidRDefault="001B4365" w:rsidP="00F86EF5">
      <w:pPr>
        <w:widowControl w:val="0"/>
        <w:spacing w:before="120" w:after="120" w:line="252" w:lineRule="auto"/>
        <w:ind w:firstLine="567"/>
        <w:jc w:val="both"/>
        <w:rPr>
          <w:rFonts w:eastAsia="Calibri"/>
          <w:lang w:val="pt-BR"/>
        </w:rPr>
      </w:pPr>
      <w:r w:rsidRPr="004A56B3">
        <w:rPr>
          <w:rFonts w:eastAsia="Calibri"/>
          <w:lang w:val="pt-BR"/>
        </w:rPr>
        <w:t xml:space="preserve">Ảnh hưởng đến lợi ích của </w:t>
      </w:r>
      <w:r w:rsidR="00AD3FB1" w:rsidRPr="004A56B3">
        <w:rPr>
          <w:rFonts w:eastAsia="Calibri"/>
          <w:lang w:val="pt-BR"/>
        </w:rPr>
        <w:t>c</w:t>
      </w:r>
      <w:r w:rsidRPr="004A56B3">
        <w:rPr>
          <w:rFonts w:eastAsia="Calibri"/>
          <w:lang w:val="pt-BR"/>
        </w:rPr>
        <w:t xml:space="preserve">ổ đông </w:t>
      </w:r>
      <w:r w:rsidR="00E730D6">
        <w:rPr>
          <w:rFonts w:eastAsia="Calibri"/>
          <w:lang w:val="vi-VN"/>
        </w:rPr>
        <w:t>N</w:t>
      </w:r>
      <w:r w:rsidRPr="004A56B3">
        <w:rPr>
          <w:rFonts w:eastAsia="Calibri"/>
          <w:lang w:val="pt-BR"/>
        </w:rPr>
        <w:t>hà nước: khi cổ phiếu DNNN bị hủy niêm yết sẽ giảm tính thanh khoản và giá cổ phiếu có xu hướng giảm rất sâu. Khi đó, với vai trò là cổ đông lớn, giá trị vốn nhà nước tại DNNN bị suy giảm. Việc này sẽ dẫn đến khó</w:t>
      </w:r>
      <w:r w:rsidRPr="004A56B3">
        <w:rPr>
          <w:rFonts w:eastAsia="Calibri"/>
          <w:iCs/>
          <w:lang w:val="pt-BR"/>
        </w:rPr>
        <w:t xml:space="preserve"> bảo toàn và gia tăng giá trị vốn nhà nước đầu tư vào doanh nghiệp</w:t>
      </w:r>
      <w:r w:rsidRPr="004A56B3">
        <w:rPr>
          <w:rFonts w:eastAsia="Calibri"/>
          <w:lang w:val="pt-BR"/>
        </w:rPr>
        <w:t>.</w:t>
      </w:r>
    </w:p>
    <w:p w:rsidR="001B4365" w:rsidRPr="004A56B3" w:rsidRDefault="001B4365" w:rsidP="00F86EF5">
      <w:pPr>
        <w:widowControl w:val="0"/>
        <w:spacing w:before="120" w:after="120" w:line="252" w:lineRule="auto"/>
        <w:ind w:firstLine="567"/>
        <w:jc w:val="both"/>
        <w:rPr>
          <w:rFonts w:eastAsia="Calibri"/>
          <w:lang w:val="pt-BR"/>
        </w:rPr>
      </w:pPr>
      <w:r w:rsidRPr="004A56B3">
        <w:rPr>
          <w:rFonts w:eastAsia="Calibri"/>
          <w:lang w:val="pt-BR"/>
        </w:rPr>
        <w:t xml:space="preserve">Chính phủ có thể phải sử dụng nguồn lực ngân sách lớn để duy trì và hồi phục DNNN, đặc biệt các DNNN giữ vị trí đầu ngành của </w:t>
      </w:r>
      <w:r w:rsidR="00C355F4">
        <w:rPr>
          <w:rFonts w:eastAsia="Calibri"/>
          <w:lang w:val="vi-VN"/>
        </w:rPr>
        <w:t>q</w:t>
      </w:r>
      <w:r w:rsidRPr="004A56B3">
        <w:rPr>
          <w:rFonts w:eastAsia="Calibri"/>
          <w:lang w:val="pt-BR"/>
        </w:rPr>
        <w:t xml:space="preserve">uốc gia. </w:t>
      </w:r>
    </w:p>
    <w:p w:rsidR="001B4365" w:rsidRPr="004A56B3" w:rsidRDefault="001B4365" w:rsidP="00F86EF5">
      <w:pPr>
        <w:widowControl w:val="0"/>
        <w:spacing w:before="120" w:after="120" w:line="252" w:lineRule="auto"/>
        <w:ind w:firstLine="567"/>
        <w:jc w:val="both"/>
        <w:rPr>
          <w:rFonts w:eastAsia="Calibri"/>
          <w:lang w:val="pt-BR"/>
        </w:rPr>
      </w:pPr>
      <w:r w:rsidRPr="004A56B3">
        <w:rPr>
          <w:rFonts w:eastAsia="Calibri"/>
          <w:lang w:val="pt-BR"/>
        </w:rPr>
        <w:t xml:space="preserve">Trong trường hợp giải pháp duy trì niêm yết cổ phiếu DNNN trên </w:t>
      </w:r>
      <w:r w:rsidR="001072E8">
        <w:rPr>
          <w:rFonts w:eastAsia="Calibri"/>
          <w:lang w:val="pt-BR"/>
        </w:rPr>
        <w:t>Sở giao dịch</w:t>
      </w:r>
      <w:r w:rsidRPr="004A56B3">
        <w:rPr>
          <w:rFonts w:eastAsia="Calibri"/>
          <w:lang w:val="pt-BR"/>
        </w:rPr>
        <w:t xml:space="preserve"> chứng khoán không được triển khai, sẽ ảnh hưởng lớn đến việc triển khai các giải pháp khác trong giải pháp tổng thể, từ đó ảnh hưởng đến khả năng phục hồi của doanh nghiệp, dần dần DNNN sẽ suy giảm khả năng ứng phó, chống chịu với các rủi ro từ môi trường sản xuất kinh doanh, suy giảm khả năng cạnh tranh và vị thế trên thị trường Việt Nam và khu vực. Khi liên tục trong tình trạng thiếu hụt các nguồn tài chính cho hoạt động sản xuất kinh doanh và phát triển, thường xuyên ở ngưỡng mất khả năng thanh toán, mất khả năng duy trì hoạt động liên tục, vay và nợ quá hạn cao để lại gánh nặng thanh toán lớn với nhiều rủi ro pháp lý. Khi đó, doanh nghiệp không thể đứng vững nếu không có sự hỗ trợ về tài chính của Chính phủ, đồng thời là cổ đông lớn nhất của DNNN.</w:t>
      </w:r>
    </w:p>
    <w:p w:rsidR="001B4365" w:rsidRPr="004A56B3" w:rsidRDefault="0034061A" w:rsidP="00F86EF5">
      <w:pPr>
        <w:widowControl w:val="0"/>
        <w:spacing w:before="120" w:after="120" w:line="252" w:lineRule="auto"/>
        <w:ind w:firstLine="567"/>
        <w:jc w:val="both"/>
        <w:rPr>
          <w:rFonts w:eastAsia="Calibri"/>
          <w:bCs/>
          <w:lang w:val="pt-BR"/>
        </w:rPr>
      </w:pPr>
      <w:r w:rsidRPr="004A56B3">
        <w:rPr>
          <w:rFonts w:eastAsia="Calibri"/>
          <w:bCs/>
          <w:lang w:val="pt-BR"/>
        </w:rPr>
        <w:t xml:space="preserve">- </w:t>
      </w:r>
      <w:r w:rsidR="001B4365" w:rsidRPr="004A56B3">
        <w:rPr>
          <w:rFonts w:eastAsia="Calibri"/>
          <w:bCs/>
          <w:lang w:val="pt-BR"/>
        </w:rPr>
        <w:t>Tác động đến thị trường</w:t>
      </w:r>
      <w:r w:rsidR="005A6A5D" w:rsidRPr="004A56B3">
        <w:rPr>
          <w:rFonts w:eastAsia="Calibri"/>
          <w:bCs/>
          <w:lang w:val="pt-BR"/>
        </w:rPr>
        <w:t xml:space="preserve"> và nền</w:t>
      </w:r>
      <w:r w:rsidR="001B4365" w:rsidRPr="004A56B3">
        <w:rPr>
          <w:rFonts w:eastAsia="Calibri"/>
          <w:bCs/>
          <w:lang w:val="pt-BR"/>
        </w:rPr>
        <w:t xml:space="preserve"> kinh tế</w:t>
      </w:r>
      <w:r w:rsidR="00CD31E8">
        <w:rPr>
          <w:rFonts w:eastAsia="Calibri"/>
          <w:bCs/>
          <w:lang w:val="vi-VN"/>
        </w:rPr>
        <w:t xml:space="preserve"> </w:t>
      </w:r>
      <w:r w:rsidR="001B4365" w:rsidRPr="004A56B3">
        <w:rPr>
          <w:rFonts w:eastAsia="Calibri"/>
          <w:bCs/>
          <w:lang w:val="pt-BR"/>
        </w:rPr>
        <w:t>-</w:t>
      </w:r>
      <w:r w:rsidR="00CD31E8">
        <w:rPr>
          <w:rFonts w:eastAsia="Calibri"/>
          <w:bCs/>
          <w:lang w:val="vi-VN"/>
        </w:rPr>
        <w:t xml:space="preserve"> </w:t>
      </w:r>
      <w:r w:rsidR="001B4365" w:rsidRPr="004A56B3">
        <w:rPr>
          <w:rFonts w:eastAsia="Calibri"/>
          <w:bCs/>
          <w:lang w:val="pt-BR"/>
        </w:rPr>
        <w:t>xã hội</w:t>
      </w:r>
      <w:r w:rsidR="005A6A5D" w:rsidRPr="004A56B3">
        <w:rPr>
          <w:rFonts w:eastAsia="Calibri"/>
          <w:bCs/>
          <w:lang w:val="pt-BR"/>
        </w:rPr>
        <w:t>:</w:t>
      </w:r>
    </w:p>
    <w:p w:rsidR="001B4365" w:rsidRPr="004A56B3" w:rsidRDefault="001B4365" w:rsidP="00F86EF5">
      <w:pPr>
        <w:tabs>
          <w:tab w:val="left" w:pos="2630"/>
        </w:tabs>
        <w:spacing w:before="120" w:after="120" w:line="252" w:lineRule="auto"/>
        <w:ind w:firstLine="567"/>
        <w:jc w:val="both"/>
        <w:rPr>
          <w:rFonts w:eastAsia="Calibri"/>
          <w:lang w:val="pt-BR"/>
        </w:rPr>
      </w:pPr>
      <w:r w:rsidRPr="004A56B3">
        <w:rPr>
          <w:rFonts w:eastAsia="Calibri"/>
          <w:lang w:val="pt-BR"/>
        </w:rPr>
        <w:t xml:space="preserve">Xét trên bối cảnh tình hình tài chính của DNNN suy yếu dẫn đến nguy cơ cổ phiếu doanh nghiệp rơi vào tình trạng hủy niêm yết bắt buộc xuất phát từ yếu tố khách quan và bất khả kháng, việc loại bỏ cổ phiếu của DNNN có quy mô lớn, có uy tín trên thị trường, hoạt động kinh doanh hiệu quả trước khi bị tác động bởi các yếu tố bất khả kháng, có triển vọng hồi phục và phát triển trở lại, ra khỏi thị trường chứng khoán có thể không phải là hành động </w:t>
      </w:r>
      <w:r w:rsidRPr="004A56B3">
        <w:rPr>
          <w:rFonts w:eastAsia="Calibri"/>
          <w:i/>
          <w:lang w:val="pt-BR"/>
        </w:rPr>
        <w:t>bảo vệ quyền và lợi ích hợp pháp của nhà đầu tư</w:t>
      </w:r>
      <w:r w:rsidRPr="004A56B3">
        <w:rPr>
          <w:rFonts w:eastAsia="Calibri"/>
          <w:lang w:val="pt-BR"/>
        </w:rPr>
        <w:t>, là một trong những nguyên tắc hoạt động của thị trường chứng khoán.</w:t>
      </w:r>
    </w:p>
    <w:p w:rsidR="00815CC5" w:rsidRPr="004A56B3" w:rsidRDefault="0034061A" w:rsidP="00F86EF5">
      <w:pPr>
        <w:widowControl w:val="0"/>
        <w:spacing w:before="120" w:after="120" w:line="252" w:lineRule="auto"/>
        <w:ind w:firstLine="567"/>
        <w:jc w:val="both"/>
        <w:rPr>
          <w:rFonts w:eastAsia="Calibri"/>
          <w:bCs/>
          <w:lang w:val="pt-BR"/>
        </w:rPr>
      </w:pPr>
      <w:r w:rsidRPr="004A56B3">
        <w:rPr>
          <w:rFonts w:eastAsia="Calibri"/>
          <w:bCs/>
          <w:lang w:val="pt-BR"/>
        </w:rPr>
        <w:t>-</w:t>
      </w:r>
      <w:r w:rsidR="001B4365" w:rsidRPr="004A56B3">
        <w:rPr>
          <w:rFonts w:eastAsia="Calibri"/>
          <w:bCs/>
          <w:lang w:val="pt-BR"/>
        </w:rPr>
        <w:t xml:space="preserve"> Tác động đến DNNN</w:t>
      </w:r>
      <w:r w:rsidR="005A6A5D" w:rsidRPr="004A56B3">
        <w:rPr>
          <w:rFonts w:eastAsia="Calibri"/>
          <w:bCs/>
          <w:lang w:val="pt-BR"/>
        </w:rPr>
        <w:t>:</w:t>
      </w:r>
    </w:p>
    <w:p w:rsidR="00815CC5" w:rsidRPr="004A56B3" w:rsidRDefault="00815CC5" w:rsidP="00F86EF5">
      <w:pPr>
        <w:widowControl w:val="0"/>
        <w:spacing w:before="120" w:after="120" w:line="252" w:lineRule="auto"/>
        <w:ind w:firstLine="567"/>
        <w:jc w:val="both"/>
        <w:rPr>
          <w:rFonts w:eastAsia="Calibri"/>
          <w:bCs/>
          <w:lang w:val="pt-BR"/>
        </w:rPr>
      </w:pPr>
      <w:r w:rsidRPr="004A56B3">
        <w:rPr>
          <w:rFonts w:eastAsia="Calibri"/>
          <w:szCs w:val="22"/>
          <w:lang w:val="pt-BR"/>
        </w:rPr>
        <w:t xml:space="preserve">+ </w:t>
      </w:r>
      <w:r w:rsidR="001B4365" w:rsidRPr="004A56B3">
        <w:rPr>
          <w:rFonts w:eastAsia="Calibri"/>
          <w:szCs w:val="22"/>
          <w:lang w:val="pt-BR"/>
        </w:rPr>
        <w:t xml:space="preserve">Ảnh hưởng đến tính khả thi của giải pháp tái cơ cấu nguồn vốn (nếu có). </w:t>
      </w:r>
    </w:p>
    <w:p w:rsidR="00815CC5" w:rsidRPr="004A56B3" w:rsidRDefault="00815CC5" w:rsidP="00F86EF5">
      <w:pPr>
        <w:widowControl w:val="0"/>
        <w:spacing w:before="120" w:after="120" w:line="252" w:lineRule="auto"/>
        <w:ind w:firstLine="567"/>
        <w:jc w:val="both"/>
        <w:rPr>
          <w:rFonts w:eastAsia="Calibri"/>
          <w:bCs/>
          <w:lang w:val="pt-BR"/>
        </w:rPr>
      </w:pPr>
      <w:r w:rsidRPr="004A56B3">
        <w:rPr>
          <w:rFonts w:eastAsia="Calibri"/>
          <w:szCs w:val="22"/>
          <w:lang w:val="pt-BR"/>
        </w:rPr>
        <w:t xml:space="preserve">+ </w:t>
      </w:r>
      <w:r w:rsidR="001B4365" w:rsidRPr="004A56B3">
        <w:rPr>
          <w:rFonts w:eastAsia="Calibri"/>
          <w:szCs w:val="22"/>
          <w:lang w:val="pt-BR"/>
        </w:rPr>
        <w:t xml:space="preserve">Có khả năng không giữ được các thỏa thuận, cam kết với các đối tác: Sau khi bị hủy niêm yết trên </w:t>
      </w:r>
      <w:r w:rsidR="001072E8">
        <w:rPr>
          <w:rFonts w:eastAsia="Calibri"/>
          <w:szCs w:val="22"/>
          <w:lang w:val="pt-BR"/>
        </w:rPr>
        <w:t>Sở giao dịch</w:t>
      </w:r>
      <w:r w:rsidR="001B4365" w:rsidRPr="004A56B3">
        <w:rPr>
          <w:rFonts w:eastAsia="Calibri"/>
          <w:szCs w:val="22"/>
          <w:lang w:val="pt-BR"/>
        </w:rPr>
        <w:t xml:space="preserve"> chứng khoán, các đối tác, các tổ chức tín dụng,... sẽ có những đánh giá tín nhiệm thấp đối với DNNN khi cổ phiếu DNNN bị hủy niêm yết bắt buộc. Những cam kết về giãn hoãn thanh toán, giảm giá thuê</w:t>
      </w:r>
      <w:r w:rsidR="00AD3FB1" w:rsidRPr="004A56B3">
        <w:rPr>
          <w:rFonts w:eastAsia="Calibri"/>
          <w:szCs w:val="22"/>
          <w:lang w:val="pt-BR"/>
        </w:rPr>
        <w:t xml:space="preserve"> </w:t>
      </w:r>
      <w:r w:rsidR="001B4365" w:rsidRPr="004A56B3">
        <w:rPr>
          <w:rFonts w:eastAsia="Calibri"/>
          <w:szCs w:val="22"/>
          <w:lang w:val="pt-BR"/>
        </w:rPr>
        <w:t xml:space="preserve">... sẽ bị ảnh hưởng vì hành động này có thể dấy nên lo ngại về khả năng hỗ trợ của Chính phủ đối với DNNN là doanh nghiệp đầu ngành của </w:t>
      </w:r>
      <w:r w:rsidR="00AE343D">
        <w:rPr>
          <w:rFonts w:eastAsia="Calibri"/>
          <w:szCs w:val="22"/>
          <w:lang w:val="vi-VN"/>
        </w:rPr>
        <w:t>q</w:t>
      </w:r>
      <w:r w:rsidR="001B4365" w:rsidRPr="004A56B3">
        <w:rPr>
          <w:rFonts w:eastAsia="Calibri"/>
          <w:szCs w:val="22"/>
          <w:lang w:val="pt-BR"/>
        </w:rPr>
        <w:t>uốc gia.</w:t>
      </w:r>
    </w:p>
    <w:p w:rsidR="00815CC5" w:rsidRPr="004A56B3" w:rsidRDefault="00815CC5" w:rsidP="00F86EF5">
      <w:pPr>
        <w:widowControl w:val="0"/>
        <w:spacing w:before="120" w:after="120" w:line="252" w:lineRule="auto"/>
        <w:ind w:firstLine="567"/>
        <w:jc w:val="both"/>
        <w:rPr>
          <w:rFonts w:eastAsia="Calibri"/>
          <w:bCs/>
          <w:lang w:val="pt-BR"/>
        </w:rPr>
      </w:pPr>
      <w:r w:rsidRPr="004A56B3">
        <w:rPr>
          <w:rFonts w:eastAsia="Calibri"/>
          <w:szCs w:val="22"/>
          <w:lang w:val="pt-BR"/>
        </w:rPr>
        <w:t xml:space="preserve">+ </w:t>
      </w:r>
      <w:r w:rsidR="001B4365" w:rsidRPr="004A56B3">
        <w:rPr>
          <w:rFonts w:eastAsia="Calibri"/>
          <w:szCs w:val="22"/>
          <w:lang w:val="pt-BR"/>
        </w:rPr>
        <w:t xml:space="preserve">Khó huy động vốn tín dụng: Để đảm bảo khả năng thanh khoản, DNNN cần duy trì hạn mức vay ngắn hạn tại các ngân hàng. Về nguyên tắc, các tổ chức </w:t>
      </w:r>
      <w:r w:rsidR="001B4365" w:rsidRPr="004A56B3">
        <w:rPr>
          <w:rFonts w:eastAsia="Calibri"/>
          <w:szCs w:val="22"/>
          <w:lang w:val="pt-BR"/>
        </w:rPr>
        <w:lastRenderedPageBreak/>
        <w:t>tín dụng có toàn quyền cắt/giảm hạn mức cho DNNN. Nếu cổ phiếu DNNN bị hủy niêm yết bắt buộc, tùy thuộc khẩu vị rủi ro mà các tổ chức tín dụng sẽ đánh giá lại và cắt giảm hạn mức thêm, khi đó DNNN sẽ có nguy cơ cao rơi vào tình trạng mất khả năng thanh toán do không cân đối được dòng tiền. Trường hợp bị hủy niêm yết thì uy tín và khả năng thanh toán của DNNN sẽ bị suy giảm, do đó DNNN gặp rất nhiều khó khăn trong đàm phán cũng như thu xếp dòng tiền để thanh toán cho các khoản nợ vay này.</w:t>
      </w:r>
    </w:p>
    <w:p w:rsidR="00815CC5" w:rsidRPr="004A56B3" w:rsidRDefault="00815CC5" w:rsidP="00F86EF5">
      <w:pPr>
        <w:widowControl w:val="0"/>
        <w:spacing w:before="120" w:after="120" w:line="252" w:lineRule="auto"/>
        <w:ind w:firstLine="567"/>
        <w:jc w:val="both"/>
        <w:rPr>
          <w:rFonts w:eastAsia="Calibri"/>
          <w:bCs/>
          <w:lang w:val="pt-BR"/>
        </w:rPr>
      </w:pPr>
      <w:r w:rsidRPr="004A56B3">
        <w:rPr>
          <w:rFonts w:eastAsia="Calibri"/>
          <w:szCs w:val="22"/>
          <w:lang w:val="pt-BR"/>
        </w:rPr>
        <w:t xml:space="preserve">+ </w:t>
      </w:r>
      <w:r w:rsidR="001B4365" w:rsidRPr="004A56B3">
        <w:rPr>
          <w:rFonts w:eastAsia="Calibri"/>
          <w:szCs w:val="22"/>
          <w:lang w:val="pt-BR"/>
        </w:rPr>
        <w:t xml:space="preserve">DNNN cần nhiều thời gian để đưa cổ phiếu trở lại giao dịch tại </w:t>
      </w:r>
      <w:r w:rsidR="001072E8">
        <w:rPr>
          <w:rFonts w:eastAsia="Calibri"/>
          <w:szCs w:val="22"/>
          <w:lang w:val="pt-BR"/>
        </w:rPr>
        <w:t>Sở giao dịch</w:t>
      </w:r>
      <w:r w:rsidR="001B4365" w:rsidRPr="004A56B3">
        <w:rPr>
          <w:rFonts w:eastAsia="Calibri"/>
          <w:szCs w:val="22"/>
          <w:lang w:val="pt-BR"/>
        </w:rPr>
        <w:t xml:space="preserve"> chứng khoán, việc này ảnh hưởng đến khả năng huy động vốn của doanh nghiệp trên thị trường trong dài hạn, ảnh hưởng đến tính bền vững của doanh nghiệp. </w:t>
      </w:r>
    </w:p>
    <w:p w:rsidR="001C2C29" w:rsidRPr="004A56B3" w:rsidRDefault="00815CC5" w:rsidP="00F86EF5">
      <w:pPr>
        <w:widowControl w:val="0"/>
        <w:spacing w:before="120" w:after="120" w:line="252" w:lineRule="auto"/>
        <w:ind w:firstLine="567"/>
        <w:jc w:val="both"/>
        <w:rPr>
          <w:rFonts w:eastAsia="Calibri"/>
          <w:bCs/>
          <w:lang w:val="pt-BR"/>
        </w:rPr>
      </w:pPr>
      <w:r w:rsidRPr="004A56B3">
        <w:rPr>
          <w:rFonts w:eastAsia="Calibri"/>
          <w:szCs w:val="22"/>
          <w:lang w:val="pt-BR"/>
        </w:rPr>
        <w:t xml:space="preserve">+ </w:t>
      </w:r>
      <w:r w:rsidR="001B4365" w:rsidRPr="004A56B3">
        <w:rPr>
          <w:rFonts w:eastAsia="Calibri"/>
          <w:szCs w:val="22"/>
          <w:lang w:val="pt-BR"/>
        </w:rPr>
        <w:t xml:space="preserve">Việc DNNN đầu ngành của </w:t>
      </w:r>
      <w:r w:rsidR="00CF13FC">
        <w:rPr>
          <w:rFonts w:eastAsia="Calibri"/>
          <w:szCs w:val="22"/>
          <w:lang w:val="vi-VN"/>
        </w:rPr>
        <w:t>q</w:t>
      </w:r>
      <w:r w:rsidR="001B4365" w:rsidRPr="004A56B3">
        <w:rPr>
          <w:rFonts w:eastAsia="Calibri"/>
          <w:szCs w:val="22"/>
          <w:lang w:val="pt-BR"/>
        </w:rPr>
        <w:t>uốc gia, có thương thương hiệu bị hủy niêm yết bắt buộc trên thị trường chứng khoán sẽ tác động xấu đến hình ảnh của doanh nghiệp, có khả năng làm giảm giá trị thương hiệu của DNNN, gián tiếp làm giảm giá trị doanh nghiệp và ảnh hưởng đến hoạt động sản xuất kinh doanh của DNNN</w:t>
      </w:r>
      <w:r w:rsidR="00D13537" w:rsidRPr="004A56B3">
        <w:rPr>
          <w:rStyle w:val="FootnoteReference"/>
          <w:rFonts w:eastAsia="Calibri"/>
          <w:szCs w:val="22"/>
          <w:lang w:val="pt-BR"/>
        </w:rPr>
        <w:footnoteReference w:id="1"/>
      </w:r>
      <w:r w:rsidR="001B4365" w:rsidRPr="004A56B3">
        <w:rPr>
          <w:rFonts w:eastAsia="Calibri"/>
          <w:szCs w:val="22"/>
          <w:lang w:val="pt-BR"/>
        </w:rPr>
        <w:t xml:space="preserve">. </w:t>
      </w:r>
    </w:p>
    <w:p w:rsidR="00BC7756" w:rsidRPr="004A56B3" w:rsidRDefault="00BC7756" w:rsidP="00F86EF5">
      <w:pPr>
        <w:widowControl w:val="0"/>
        <w:tabs>
          <w:tab w:val="right" w:leader="dot" w:pos="7920"/>
        </w:tabs>
        <w:spacing w:before="120" w:after="120" w:line="252" w:lineRule="auto"/>
        <w:ind w:firstLine="720"/>
        <w:jc w:val="both"/>
        <w:rPr>
          <w:lang w:val="pt-BR"/>
        </w:rPr>
      </w:pPr>
      <w:r w:rsidRPr="004A56B3">
        <w:rPr>
          <w:lang w:val="pt-BR"/>
        </w:rPr>
        <w:t>(</w:t>
      </w:r>
      <w:r w:rsidR="00E5251E" w:rsidRPr="004A56B3">
        <w:rPr>
          <w:lang w:val="pt-BR"/>
        </w:rPr>
        <w:t>3</w:t>
      </w:r>
      <w:r w:rsidRPr="004A56B3">
        <w:rPr>
          <w:lang w:val="pt-BR"/>
        </w:rPr>
        <w:t xml:space="preserve">) Tác động về giới: </w:t>
      </w:r>
    </w:p>
    <w:p w:rsidR="00BC7756" w:rsidRPr="004A56B3" w:rsidRDefault="00BC7756" w:rsidP="00F86EF5">
      <w:pPr>
        <w:widowControl w:val="0"/>
        <w:tabs>
          <w:tab w:val="right" w:leader="dot" w:pos="7920"/>
        </w:tabs>
        <w:spacing w:before="120" w:after="120" w:line="252" w:lineRule="auto"/>
        <w:ind w:firstLine="720"/>
        <w:jc w:val="both"/>
        <w:rPr>
          <w:lang w:val="pt-BR"/>
        </w:rPr>
      </w:pPr>
      <w:r w:rsidRPr="004A56B3">
        <w:rPr>
          <w:lang w:val="pt-BR"/>
        </w:rPr>
        <w:t xml:space="preserve">Chính sách không ảnh hưởng đến cơ hội, điều kiện, năng lực thực hiện và thụ hưởng các quyền, lợi ích của mỗi giới do chính sách được áp dụng chung, không mang tính phân biệt giới. </w:t>
      </w:r>
    </w:p>
    <w:p w:rsidR="00BC7756" w:rsidRPr="004A56B3" w:rsidRDefault="00BC7756" w:rsidP="00F86EF5">
      <w:pPr>
        <w:widowControl w:val="0"/>
        <w:tabs>
          <w:tab w:val="right" w:leader="dot" w:pos="7920"/>
        </w:tabs>
        <w:spacing w:before="120" w:after="120" w:line="252" w:lineRule="auto"/>
        <w:ind w:firstLine="720"/>
        <w:jc w:val="both"/>
        <w:rPr>
          <w:lang w:val="pt-BR"/>
        </w:rPr>
      </w:pPr>
      <w:r w:rsidRPr="004A56B3">
        <w:rPr>
          <w:lang w:val="pt-BR"/>
        </w:rPr>
        <w:t>(</w:t>
      </w:r>
      <w:r w:rsidR="00E5251E" w:rsidRPr="004A56B3">
        <w:rPr>
          <w:lang w:val="pt-BR"/>
        </w:rPr>
        <w:t>4</w:t>
      </w:r>
      <w:r w:rsidRPr="004A56B3">
        <w:rPr>
          <w:lang w:val="pt-BR"/>
        </w:rPr>
        <w:t xml:space="preserve">) Tác động của thủ tục hành chính: </w:t>
      </w:r>
    </w:p>
    <w:p w:rsidR="00BC7756" w:rsidRPr="004A56B3" w:rsidRDefault="00BC7756" w:rsidP="00F86EF5">
      <w:pPr>
        <w:widowControl w:val="0"/>
        <w:tabs>
          <w:tab w:val="right" w:leader="dot" w:pos="7920"/>
        </w:tabs>
        <w:spacing w:before="120" w:after="120" w:line="252" w:lineRule="auto"/>
        <w:ind w:firstLine="720"/>
        <w:jc w:val="both"/>
        <w:rPr>
          <w:lang w:val="pt-BR"/>
        </w:rPr>
      </w:pPr>
      <w:r w:rsidRPr="004A56B3">
        <w:rPr>
          <w:lang w:val="pt-BR"/>
        </w:rPr>
        <w:t>C</w:t>
      </w:r>
      <w:r w:rsidRPr="004A56B3">
        <w:rPr>
          <w:lang w:val="vi-VN"/>
        </w:rPr>
        <w:t xml:space="preserve">hính sách </w:t>
      </w:r>
      <w:r w:rsidRPr="004A56B3">
        <w:rPr>
          <w:lang w:val="pt-BR"/>
        </w:rPr>
        <w:t xml:space="preserve">không phát sinh thủ tục hành chính. </w:t>
      </w:r>
    </w:p>
    <w:p w:rsidR="00A55BAB" w:rsidRPr="004A56B3" w:rsidRDefault="00A07AF7" w:rsidP="00F86EF5">
      <w:pPr>
        <w:widowControl w:val="0"/>
        <w:tabs>
          <w:tab w:val="right" w:leader="dot" w:pos="7920"/>
        </w:tabs>
        <w:spacing w:before="120" w:after="120" w:line="252" w:lineRule="auto"/>
        <w:ind w:firstLine="720"/>
        <w:jc w:val="both"/>
        <w:rPr>
          <w:i/>
          <w:lang w:val="nl-NL"/>
        </w:rPr>
      </w:pPr>
      <w:r w:rsidRPr="004A56B3">
        <w:rPr>
          <w:i/>
          <w:lang w:val="nl-NL"/>
        </w:rPr>
        <w:t>b.</w:t>
      </w:r>
      <w:r w:rsidR="00A55BAB" w:rsidRPr="004A56B3">
        <w:rPr>
          <w:i/>
          <w:lang w:val="nl-NL"/>
        </w:rPr>
        <w:t xml:space="preserve"> Giải pháp 2</w:t>
      </w:r>
    </w:p>
    <w:p w:rsidR="005E23FE" w:rsidRPr="004A56B3" w:rsidRDefault="005E23FE" w:rsidP="00F86EF5">
      <w:pPr>
        <w:widowControl w:val="0"/>
        <w:tabs>
          <w:tab w:val="right" w:leader="dot" w:pos="7920"/>
        </w:tabs>
        <w:spacing w:before="120" w:after="120" w:line="252" w:lineRule="auto"/>
        <w:ind w:firstLine="720"/>
        <w:jc w:val="both"/>
        <w:rPr>
          <w:lang w:val="pt-BR"/>
        </w:rPr>
      </w:pPr>
      <w:r w:rsidRPr="004A56B3">
        <w:rPr>
          <w:lang w:val="pt-BR"/>
        </w:rPr>
        <w:t xml:space="preserve">(1) Tác động đối với hệ thống pháp luật: </w:t>
      </w:r>
    </w:p>
    <w:p w:rsidR="005E23FE" w:rsidRPr="004A56B3" w:rsidRDefault="005E23FE" w:rsidP="00F86EF5">
      <w:pPr>
        <w:widowControl w:val="0"/>
        <w:tabs>
          <w:tab w:val="right" w:leader="dot" w:pos="7920"/>
        </w:tabs>
        <w:spacing w:before="120" w:after="120" w:line="252" w:lineRule="auto"/>
        <w:ind w:firstLine="720"/>
        <w:jc w:val="both"/>
        <w:rPr>
          <w:lang w:val="pt-BR"/>
        </w:rPr>
      </w:pPr>
      <w:r w:rsidRPr="004A56B3">
        <w:rPr>
          <w:lang w:val="pt-BR"/>
        </w:rPr>
        <w:t>Giải pháp chính sách không ảnh hưởng tới quyền và nghĩa vụ của công dân theo Hiến pháp; không trái với các văn bản quy phạm pháp luật khác có liên quan. Việc sửa đổi, bổ sung quy định này giúp hoàn thiện khu</w:t>
      </w:r>
      <w:r w:rsidR="00B87234">
        <w:rPr>
          <w:lang w:val="vi-VN"/>
        </w:rPr>
        <w:t>ôn</w:t>
      </w:r>
      <w:r w:rsidRPr="004A56B3">
        <w:rPr>
          <w:lang w:val="pt-BR"/>
        </w:rPr>
        <w:t xml:space="preserve"> khổ pháp lý về niêm yết và hủy niêm yết cổ phiếu trên TTCK để có căn cứ triển khai thực hiện.</w:t>
      </w:r>
    </w:p>
    <w:p w:rsidR="00203F1B" w:rsidRPr="004A56B3" w:rsidRDefault="005F0268" w:rsidP="00F86EF5">
      <w:pPr>
        <w:widowControl w:val="0"/>
        <w:tabs>
          <w:tab w:val="right" w:leader="dot" w:pos="7920"/>
        </w:tabs>
        <w:spacing w:before="120" w:after="120" w:line="252" w:lineRule="auto"/>
        <w:ind w:firstLine="720"/>
        <w:jc w:val="both"/>
        <w:rPr>
          <w:lang w:val="nl-NL"/>
        </w:rPr>
      </w:pPr>
      <w:r w:rsidRPr="004A56B3">
        <w:rPr>
          <w:lang w:val="nl-NL"/>
        </w:rPr>
        <w:t>(</w:t>
      </w:r>
      <w:r w:rsidR="0008703D" w:rsidRPr="004A56B3">
        <w:rPr>
          <w:lang w:val="nl-NL"/>
        </w:rPr>
        <w:t>2</w:t>
      </w:r>
      <w:r w:rsidRPr="004A56B3">
        <w:rPr>
          <w:lang w:val="nl-NL"/>
        </w:rPr>
        <w:t>)</w:t>
      </w:r>
      <w:r w:rsidR="00203F1B" w:rsidRPr="004A56B3">
        <w:rPr>
          <w:lang w:val="nl-NL"/>
        </w:rPr>
        <w:t xml:space="preserve"> Tác động về kinh tế xã hội:</w:t>
      </w:r>
    </w:p>
    <w:p w:rsidR="002511FD" w:rsidRPr="000342D3" w:rsidRDefault="002511FD" w:rsidP="00F86EF5">
      <w:pPr>
        <w:widowControl w:val="0"/>
        <w:tabs>
          <w:tab w:val="right" w:leader="dot" w:pos="7920"/>
        </w:tabs>
        <w:spacing w:before="120" w:after="120" w:line="252" w:lineRule="auto"/>
        <w:ind w:firstLine="720"/>
        <w:jc w:val="both"/>
        <w:rPr>
          <w:i/>
          <w:lang w:val="nl-NL"/>
        </w:rPr>
      </w:pPr>
      <w:r w:rsidRPr="000342D3">
        <w:rPr>
          <w:i/>
          <w:lang w:val="nl-NL"/>
        </w:rPr>
        <w:t>(i) Tác động tích cực</w:t>
      </w:r>
    </w:p>
    <w:p w:rsidR="00271869" w:rsidRPr="004A56B3" w:rsidRDefault="00271869" w:rsidP="00F86EF5">
      <w:pPr>
        <w:widowControl w:val="0"/>
        <w:tabs>
          <w:tab w:val="right" w:leader="dot" w:pos="7920"/>
        </w:tabs>
        <w:spacing w:before="120" w:after="120" w:line="252" w:lineRule="auto"/>
        <w:ind w:firstLine="720"/>
        <w:jc w:val="both"/>
        <w:rPr>
          <w:lang w:val="nl-NL"/>
        </w:rPr>
      </w:pPr>
      <w:r w:rsidRPr="004A56B3">
        <w:rPr>
          <w:lang w:val="nl-NL"/>
        </w:rPr>
        <w:t xml:space="preserve">Về vấn đề này, </w:t>
      </w:r>
      <w:r w:rsidR="00ED3E84" w:rsidRPr="004A56B3">
        <w:rPr>
          <w:lang w:val="nl-NL"/>
        </w:rPr>
        <w:t>UBQLVNN</w:t>
      </w:r>
      <w:r w:rsidRPr="004A56B3">
        <w:rPr>
          <w:lang w:val="nl-NL"/>
        </w:rPr>
        <w:t xml:space="preserve"> đã có </w:t>
      </w:r>
      <w:r w:rsidR="001E19DF" w:rsidRPr="004A56B3">
        <w:rPr>
          <w:lang w:val="nl-NL"/>
        </w:rPr>
        <w:t>Công văn</w:t>
      </w:r>
      <w:r w:rsidRPr="004A56B3">
        <w:rPr>
          <w:lang w:val="nl-NL"/>
        </w:rPr>
        <w:t xml:space="preserve"> số 624/</w:t>
      </w:r>
      <w:r w:rsidR="00ED3E84" w:rsidRPr="004A56B3">
        <w:rPr>
          <w:lang w:val="nl-NL"/>
        </w:rPr>
        <w:t>UBQLV</w:t>
      </w:r>
      <w:r w:rsidRPr="004A56B3">
        <w:rPr>
          <w:lang w:val="nl-NL"/>
        </w:rPr>
        <w:t>-CNHT ngày 03/04/2024 đánh giá các tác động khi triển khai giải pháp này, cụ thể như sau:</w:t>
      </w:r>
    </w:p>
    <w:p w:rsidR="00304055" w:rsidRPr="004A56B3" w:rsidRDefault="002511FD" w:rsidP="00F86EF5">
      <w:pPr>
        <w:widowControl w:val="0"/>
        <w:tabs>
          <w:tab w:val="left" w:pos="993"/>
        </w:tabs>
        <w:spacing w:before="120" w:after="120" w:line="252" w:lineRule="auto"/>
        <w:ind w:firstLine="720"/>
        <w:jc w:val="both"/>
        <w:rPr>
          <w:rFonts w:eastAsia="Calibri"/>
          <w:szCs w:val="22"/>
          <w:lang w:val="nl-NL"/>
        </w:rPr>
      </w:pPr>
      <w:r w:rsidRPr="004A56B3">
        <w:rPr>
          <w:rFonts w:eastAsia="Calibri"/>
          <w:szCs w:val="22"/>
          <w:lang w:val="nl-NL"/>
        </w:rPr>
        <w:t xml:space="preserve">- </w:t>
      </w:r>
      <w:r w:rsidR="00304055" w:rsidRPr="004A56B3">
        <w:rPr>
          <w:rFonts w:eastAsia="Calibri"/>
          <w:szCs w:val="22"/>
          <w:lang w:val="nl-NL"/>
        </w:rPr>
        <w:t xml:space="preserve">Đối với </w:t>
      </w:r>
      <w:r w:rsidR="00AF66BE" w:rsidRPr="004A56B3">
        <w:rPr>
          <w:rFonts w:eastAsia="Calibri"/>
          <w:szCs w:val="22"/>
          <w:lang w:val="nl-NL"/>
        </w:rPr>
        <w:t>N</w:t>
      </w:r>
      <w:r w:rsidR="00304055" w:rsidRPr="004A56B3">
        <w:rPr>
          <w:rFonts w:eastAsia="Calibri"/>
          <w:szCs w:val="22"/>
          <w:lang w:val="nl-NL"/>
        </w:rPr>
        <w:t>hà nước</w:t>
      </w:r>
      <w:r w:rsidR="00AF66BE" w:rsidRPr="004A56B3">
        <w:rPr>
          <w:rFonts w:eastAsia="Calibri"/>
          <w:szCs w:val="22"/>
          <w:lang w:val="nl-NL"/>
        </w:rPr>
        <w:t>:</w:t>
      </w:r>
      <w:r w:rsidR="00304055" w:rsidRPr="004A56B3">
        <w:rPr>
          <w:rFonts w:eastAsia="Calibri"/>
          <w:szCs w:val="22"/>
          <w:lang w:val="nl-NL"/>
        </w:rPr>
        <w:t xml:space="preserve"> Việc có cơ chế để DNNN được duy trì cổ phiếu niêm yết trên các </w:t>
      </w:r>
      <w:r w:rsidR="001072E8">
        <w:rPr>
          <w:rFonts w:eastAsia="Calibri"/>
          <w:szCs w:val="22"/>
          <w:lang w:val="nl-NL"/>
        </w:rPr>
        <w:t>Sở giao dịch</w:t>
      </w:r>
      <w:r w:rsidR="00304055" w:rsidRPr="004A56B3">
        <w:rPr>
          <w:rFonts w:eastAsia="Calibri"/>
          <w:szCs w:val="22"/>
          <w:lang w:val="nl-NL"/>
        </w:rPr>
        <w:t xml:space="preserve"> chứng khoán trong một số trường hợp đặc biệt không sử </w:t>
      </w:r>
      <w:r w:rsidR="00304055" w:rsidRPr="004A56B3">
        <w:rPr>
          <w:rFonts w:eastAsia="Calibri"/>
          <w:szCs w:val="22"/>
          <w:lang w:val="nl-NL"/>
        </w:rPr>
        <w:lastRenderedPageBreak/>
        <w:t>dụng các nguồn lực tài chính hay ngân sách nhà nước, thể hiện vai trò hỗ trợ của nhà nước đối với các DNNN</w:t>
      </w:r>
      <w:r w:rsidRPr="004A56B3">
        <w:rPr>
          <w:rFonts w:eastAsia="Calibri"/>
          <w:szCs w:val="22"/>
          <w:lang w:val="nl-NL"/>
        </w:rPr>
        <w:t>, b</w:t>
      </w:r>
      <w:r w:rsidR="00304055" w:rsidRPr="004A56B3">
        <w:rPr>
          <w:rFonts w:eastAsia="Calibri"/>
          <w:szCs w:val="22"/>
          <w:lang w:val="nl-NL"/>
        </w:rPr>
        <w:t>ảo vệ lợi ích của nhà nước với tư cách là cổ đông.</w:t>
      </w:r>
    </w:p>
    <w:p w:rsidR="00304055" w:rsidRPr="004A56B3" w:rsidRDefault="002511FD" w:rsidP="00F86EF5">
      <w:pPr>
        <w:widowControl w:val="0"/>
        <w:tabs>
          <w:tab w:val="left" w:pos="993"/>
        </w:tabs>
        <w:spacing w:before="120" w:after="120" w:line="252" w:lineRule="auto"/>
        <w:ind w:firstLine="720"/>
        <w:jc w:val="both"/>
        <w:rPr>
          <w:rFonts w:eastAsia="Calibri"/>
          <w:szCs w:val="22"/>
          <w:lang w:val="nl-NL"/>
        </w:rPr>
      </w:pPr>
      <w:r w:rsidRPr="004A56B3">
        <w:rPr>
          <w:rFonts w:eastAsia="Calibri"/>
          <w:szCs w:val="22"/>
          <w:lang w:val="nl-NL"/>
        </w:rPr>
        <w:t xml:space="preserve">- </w:t>
      </w:r>
      <w:r w:rsidR="00304055" w:rsidRPr="004A56B3">
        <w:rPr>
          <w:rFonts w:eastAsia="Calibri"/>
          <w:szCs w:val="22"/>
          <w:lang w:val="nl-NL"/>
        </w:rPr>
        <w:t>Đối với thị trường</w:t>
      </w:r>
      <w:r w:rsidR="00203F1B" w:rsidRPr="004A56B3">
        <w:rPr>
          <w:rFonts w:eastAsia="Calibri"/>
          <w:szCs w:val="22"/>
          <w:lang w:val="nl-NL"/>
        </w:rPr>
        <w:t xml:space="preserve"> và nền</w:t>
      </w:r>
      <w:r w:rsidR="00304055" w:rsidRPr="004A56B3">
        <w:rPr>
          <w:rFonts w:eastAsia="Calibri"/>
          <w:szCs w:val="22"/>
          <w:lang w:val="nl-NL"/>
        </w:rPr>
        <w:t xml:space="preserve"> kinh tế - xã hội</w:t>
      </w:r>
      <w:r w:rsidR="005A6A5D" w:rsidRPr="004A56B3">
        <w:rPr>
          <w:rFonts w:eastAsia="Calibri"/>
          <w:szCs w:val="22"/>
          <w:lang w:val="nl-NL"/>
        </w:rPr>
        <w:t>:</w:t>
      </w:r>
      <w:r w:rsidR="00331055" w:rsidRPr="004A56B3">
        <w:rPr>
          <w:rFonts w:eastAsia="Calibri"/>
          <w:szCs w:val="22"/>
          <w:lang w:val="nl-NL"/>
        </w:rPr>
        <w:t xml:space="preserve"> </w:t>
      </w:r>
      <w:r w:rsidR="00304055" w:rsidRPr="004A56B3">
        <w:rPr>
          <w:rFonts w:eastAsia="Calibri"/>
          <w:szCs w:val="22"/>
          <w:lang w:val="nl-NL"/>
        </w:rPr>
        <w:t>Trong giai đoạn Covid-19, Quốc hội, Chính phủ đã có tiền lệ thực hiện hỗ các DNNN đặc biệt khó khăn. Vì vậy, việc Chính phủ tiếp tục có cơ chế riêng để DNNN được duy trì niêm yết trên HOSE trong một thời hạn nhất định, giúp cho DNNN duy trì hoạt động và thực hiện các giải pháp tái cơ cấu, không rơi vào tình trạng phá sản, góp phần phục hồi thị trường sản xuất kinh doanh và nền kinh tế đất nước là phù hợp và có tiền lệ thực hiện, sẽ tác động tích cực đến thị trường, các đối tác và các tổ chức tín dụng tin tưởng vào sự đồng hành của Nhà nước trước những khó khăn của DNNN, đồng thời đảm bảo nguyên tắc công khai, minh bạch</w:t>
      </w:r>
      <w:r w:rsidRPr="004A56B3">
        <w:rPr>
          <w:rFonts w:eastAsia="Calibri"/>
          <w:szCs w:val="22"/>
          <w:lang w:val="nl-NL"/>
        </w:rPr>
        <w:t xml:space="preserve">; </w:t>
      </w:r>
      <w:r w:rsidR="00304055" w:rsidRPr="004A56B3">
        <w:rPr>
          <w:rFonts w:eastAsia="Calibri"/>
          <w:szCs w:val="22"/>
          <w:lang w:val="nl-NL"/>
        </w:rPr>
        <w:t>Bảo đảm lợi ích của các cổ đông, nhà đầu tư mua cổ phiếu của DNNN, trong đó có cổ đông nhà nước.</w:t>
      </w:r>
      <w:r w:rsidR="00486D4D" w:rsidRPr="004A56B3">
        <w:rPr>
          <w:rFonts w:eastAsia="Calibri"/>
          <w:szCs w:val="22"/>
          <w:lang w:val="nl-NL"/>
        </w:rPr>
        <w:t xml:space="preserve"> </w:t>
      </w:r>
      <w:r w:rsidR="00304055" w:rsidRPr="004A56B3">
        <w:rPr>
          <w:rFonts w:eastAsia="Calibri"/>
          <w:szCs w:val="22"/>
          <w:lang w:val="nl-NL"/>
        </w:rPr>
        <w:t xml:space="preserve">Tuy nhiên, sẽ cần được đánh giá cụ thể trong từng trường hợp đối với từng doanh nghiệp với các yếu tố vị thế, quy mô, uy tín, tầm ảnh hưởng khác nhau…; yếu tố tác động đến doanh nghiệp, kinh tế xã hội; đồng thời cũng cần xem xét đến quy mô vốn hóa, khối lượng giao dịch,... của cổ phiếu trên thị trường. </w:t>
      </w:r>
    </w:p>
    <w:p w:rsidR="00304055" w:rsidRPr="004A56B3" w:rsidRDefault="002511FD" w:rsidP="00F86EF5">
      <w:pPr>
        <w:widowControl w:val="0"/>
        <w:tabs>
          <w:tab w:val="left" w:pos="709"/>
          <w:tab w:val="left" w:pos="993"/>
        </w:tabs>
        <w:spacing w:before="120" w:after="120" w:line="252" w:lineRule="auto"/>
        <w:ind w:firstLine="720"/>
        <w:jc w:val="both"/>
        <w:rPr>
          <w:rFonts w:eastAsia="Calibri"/>
          <w:szCs w:val="22"/>
          <w:lang w:val="nl-NL"/>
        </w:rPr>
      </w:pPr>
      <w:r w:rsidRPr="004A56B3">
        <w:rPr>
          <w:rFonts w:eastAsia="Calibri"/>
          <w:szCs w:val="22"/>
          <w:lang w:val="nl-NL"/>
        </w:rPr>
        <w:t xml:space="preserve">- </w:t>
      </w:r>
      <w:r w:rsidR="00304055" w:rsidRPr="004A56B3">
        <w:rPr>
          <w:rFonts w:eastAsia="Calibri"/>
          <w:szCs w:val="22"/>
          <w:lang w:val="nl-NL"/>
        </w:rPr>
        <w:t>Tác động đến môi trường cạnh tranh công bằng của các doanh nghiệp, nhà đầu tư chứng khoán</w:t>
      </w:r>
      <w:r w:rsidR="005A6A5D" w:rsidRPr="004A56B3">
        <w:rPr>
          <w:rFonts w:eastAsia="Calibri"/>
          <w:szCs w:val="22"/>
          <w:lang w:val="nl-NL"/>
        </w:rPr>
        <w:t>:</w:t>
      </w:r>
    </w:p>
    <w:p w:rsidR="00304055" w:rsidRPr="004A56B3" w:rsidRDefault="002511FD" w:rsidP="00F86EF5">
      <w:pPr>
        <w:widowControl w:val="0"/>
        <w:spacing w:before="120" w:after="120" w:line="252" w:lineRule="auto"/>
        <w:ind w:firstLine="720"/>
        <w:jc w:val="both"/>
        <w:rPr>
          <w:rFonts w:eastAsia="Calibri"/>
          <w:szCs w:val="22"/>
          <w:lang w:val="nl-NL"/>
        </w:rPr>
      </w:pPr>
      <w:r w:rsidRPr="004A56B3">
        <w:rPr>
          <w:rFonts w:eastAsia="Calibri"/>
          <w:szCs w:val="22"/>
          <w:lang w:val="nl-NL"/>
        </w:rPr>
        <w:t>+</w:t>
      </w:r>
      <w:r w:rsidR="00AF66BE" w:rsidRPr="004A56B3">
        <w:rPr>
          <w:rFonts w:eastAsia="Calibri"/>
          <w:szCs w:val="22"/>
          <w:lang w:val="nl-NL"/>
        </w:rPr>
        <w:t xml:space="preserve"> </w:t>
      </w:r>
      <w:r w:rsidR="00304055" w:rsidRPr="004A56B3">
        <w:rPr>
          <w:rFonts w:eastAsia="Calibri"/>
          <w:szCs w:val="22"/>
          <w:lang w:val="nl-NL"/>
        </w:rPr>
        <w:t xml:space="preserve">Môi trường cạnh tranh đóng vai trò quan trọng trong việc thúc đẩy sự phát triển và tiến bộ trong nền kinh tế của một quốc gia. Một môi trường cạnh tranh khỏe mạnh tạo điều kiện thuận lợi cho các doanh nghiệp nâng cao chất lượng sản phẩm, cải thiện dịch vụ và tiếp cận hơn nữa đến người tiêu dùng. Tuy nhiên, để đánh giá tác động đến môi trường cạnh tranh, cần xem xét trên rất nhiều khía cạnh, trong đó có rất nhiều yếu tố tác động như môi trường chính trị, kinh tế, xã hội của Việt Nam và thế giới; cạnh tranh ngành và các ngành phụ trợ; chính sách kinh tế, phát triển đầu tư của Nhà nước. Thị trường chứng khoán là một trong rất nhiều yếu tố đánh giá, tác động đến môi trường đầu tư và “ảnh hưởng đến cái nhìn của các nhà đầu tư”. </w:t>
      </w:r>
    </w:p>
    <w:p w:rsidR="00304055" w:rsidRDefault="002511FD" w:rsidP="00F86EF5">
      <w:pPr>
        <w:widowControl w:val="0"/>
        <w:spacing w:before="120" w:after="120" w:line="252" w:lineRule="auto"/>
        <w:ind w:firstLine="720"/>
        <w:jc w:val="both"/>
        <w:rPr>
          <w:rFonts w:eastAsia="Calibri"/>
          <w:szCs w:val="22"/>
          <w:lang w:val="nl-NL"/>
        </w:rPr>
      </w:pPr>
      <w:r w:rsidRPr="004A56B3">
        <w:rPr>
          <w:rFonts w:eastAsia="Calibri"/>
          <w:szCs w:val="22"/>
          <w:lang w:val="nl-NL"/>
        </w:rPr>
        <w:t>+</w:t>
      </w:r>
      <w:r w:rsidR="00AF66BE" w:rsidRPr="004A56B3">
        <w:rPr>
          <w:rFonts w:eastAsia="Calibri"/>
          <w:szCs w:val="22"/>
          <w:lang w:val="nl-NL"/>
        </w:rPr>
        <w:t xml:space="preserve"> </w:t>
      </w:r>
      <w:r w:rsidR="00304055" w:rsidRPr="004A56B3">
        <w:rPr>
          <w:rFonts w:eastAsia="Calibri"/>
          <w:szCs w:val="22"/>
          <w:lang w:val="nl-NL"/>
        </w:rPr>
        <w:t xml:space="preserve">Đối với việc áp dụng cơ chế riêng để duy trì niêm một cổ phiếu trong thời gian ngắn, trong bối cảnh cụ thể nhằm tạo điều kiện để DNNN khôi phục và đủ khả năng duy trì niêm yết trên </w:t>
      </w:r>
      <w:r w:rsidR="001072E8">
        <w:rPr>
          <w:rFonts w:eastAsia="Calibri"/>
          <w:szCs w:val="22"/>
          <w:lang w:val="nl-NL"/>
        </w:rPr>
        <w:t>Sở giao dịch</w:t>
      </w:r>
      <w:r w:rsidR="00304055" w:rsidRPr="004A56B3">
        <w:rPr>
          <w:rFonts w:eastAsia="Calibri"/>
          <w:szCs w:val="22"/>
          <w:lang w:val="nl-NL"/>
        </w:rPr>
        <w:t xml:space="preserve"> chứng khoán sau khi chịu ảnh hưởng của những tác động bất khả kháng, sẽ không quá ảnh hưởng đến thị trường chứng khoán nói riêng và cái nhìn của các nhà đầu tư tại thị trường Việt Nam nói chung. Ngược lại, việc bảo toàn vốn đầu tư của cổ đông nhà nước (trong hoạt động đầu tư tại doanh nghiệp) và hành vi điều tiết của các cơ quan chức năng để tránh xáo trộn thị trường chứng khoán sẽ góp phần gia tăng niềm tin của các nhà đầu tư vào thị trường chứng khoán Việt Nam, đảm bảo lợi ích hợp pháp của doanh nghiệp và các nhà đầu tư.</w:t>
      </w:r>
    </w:p>
    <w:p w:rsidR="000D752F" w:rsidRPr="004A56B3" w:rsidRDefault="000D752F" w:rsidP="00F86EF5">
      <w:pPr>
        <w:widowControl w:val="0"/>
        <w:spacing w:before="120" w:after="120" w:line="252" w:lineRule="auto"/>
        <w:ind w:firstLine="720"/>
        <w:jc w:val="both"/>
        <w:rPr>
          <w:rFonts w:eastAsia="Calibri"/>
          <w:szCs w:val="22"/>
          <w:lang w:val="nl-NL"/>
        </w:rPr>
      </w:pPr>
    </w:p>
    <w:p w:rsidR="00304055" w:rsidRPr="004A56B3" w:rsidRDefault="002511FD" w:rsidP="00F86EF5">
      <w:pPr>
        <w:widowControl w:val="0"/>
        <w:tabs>
          <w:tab w:val="left" w:pos="709"/>
          <w:tab w:val="left" w:pos="993"/>
        </w:tabs>
        <w:spacing w:before="120" w:after="120" w:line="252" w:lineRule="auto"/>
        <w:ind w:firstLine="720"/>
        <w:jc w:val="both"/>
        <w:rPr>
          <w:rFonts w:eastAsia="Calibri"/>
          <w:szCs w:val="22"/>
          <w:lang w:val="nl-NL"/>
        </w:rPr>
      </w:pPr>
      <w:r w:rsidRPr="004A56B3">
        <w:rPr>
          <w:rFonts w:eastAsia="Calibri"/>
          <w:szCs w:val="22"/>
          <w:lang w:val="nl-NL"/>
        </w:rPr>
        <w:lastRenderedPageBreak/>
        <w:t xml:space="preserve">- </w:t>
      </w:r>
      <w:r w:rsidR="00304055" w:rsidRPr="004A56B3">
        <w:rPr>
          <w:rFonts w:eastAsia="Calibri"/>
          <w:szCs w:val="22"/>
          <w:lang w:val="nl-NL"/>
        </w:rPr>
        <w:t xml:space="preserve">Đối với </w:t>
      </w:r>
      <w:r w:rsidR="00203F1B" w:rsidRPr="004A56B3">
        <w:rPr>
          <w:rFonts w:eastAsia="Calibri"/>
          <w:szCs w:val="22"/>
          <w:lang w:val="nl-NL"/>
        </w:rPr>
        <w:t>DNNN</w:t>
      </w:r>
      <w:r w:rsidRPr="004A56B3">
        <w:rPr>
          <w:rFonts w:eastAsia="Calibri"/>
          <w:szCs w:val="22"/>
          <w:lang w:val="nl-NL"/>
        </w:rPr>
        <w:t>:</w:t>
      </w:r>
    </w:p>
    <w:p w:rsidR="002511FD" w:rsidRPr="004A56B3" w:rsidRDefault="002511FD" w:rsidP="00F86EF5">
      <w:pPr>
        <w:widowControl w:val="0"/>
        <w:tabs>
          <w:tab w:val="left" w:pos="851"/>
        </w:tabs>
        <w:spacing w:before="120" w:after="120" w:line="252" w:lineRule="auto"/>
        <w:ind w:firstLine="720"/>
        <w:jc w:val="both"/>
        <w:rPr>
          <w:rFonts w:eastAsia="Calibri"/>
          <w:szCs w:val="22"/>
          <w:lang w:val="nl-NL"/>
        </w:rPr>
      </w:pPr>
      <w:r w:rsidRPr="004A56B3">
        <w:rPr>
          <w:rFonts w:eastAsia="Calibri"/>
          <w:szCs w:val="22"/>
          <w:lang w:val="nl-NL"/>
        </w:rPr>
        <w:t xml:space="preserve">+ </w:t>
      </w:r>
      <w:r w:rsidR="00304055" w:rsidRPr="004A56B3">
        <w:rPr>
          <w:rFonts w:eastAsia="Calibri"/>
          <w:szCs w:val="22"/>
          <w:lang w:val="nl-NL"/>
        </w:rPr>
        <w:t xml:space="preserve">Duy trì niêm yết cổ phiếu của DNNN bị khó khăn do bất khả kháng sẽ tạo điều kiện thuận lợi và đảm bảo tính khả thi trong quá trình DNNN khó khăn triển khai đồng bộ các giải pháp tái cơ cấu doanh nghiệp nhằm bổ sung dòng tiền, thu nhập để cải thiện các chỉ số tài chính, đáp ứng điều kiện duy trì niêm yết theo quy định. </w:t>
      </w:r>
    </w:p>
    <w:p w:rsidR="002511FD" w:rsidRPr="004A56B3" w:rsidRDefault="002511FD" w:rsidP="00F86EF5">
      <w:pPr>
        <w:widowControl w:val="0"/>
        <w:tabs>
          <w:tab w:val="left" w:pos="851"/>
        </w:tabs>
        <w:spacing w:before="120" w:after="120" w:line="252" w:lineRule="auto"/>
        <w:ind w:firstLine="720"/>
        <w:jc w:val="both"/>
        <w:rPr>
          <w:rFonts w:eastAsia="Calibri"/>
          <w:szCs w:val="22"/>
          <w:lang w:val="nl-NL"/>
        </w:rPr>
      </w:pPr>
      <w:r w:rsidRPr="004A56B3">
        <w:rPr>
          <w:rFonts w:eastAsia="Calibri"/>
          <w:szCs w:val="22"/>
          <w:lang w:val="nl-NL"/>
        </w:rPr>
        <w:t xml:space="preserve">+ </w:t>
      </w:r>
      <w:r w:rsidR="00304055" w:rsidRPr="004A56B3">
        <w:rPr>
          <w:rFonts w:eastAsia="Calibri"/>
          <w:szCs w:val="22"/>
          <w:lang w:val="nl-NL"/>
        </w:rPr>
        <w:t>Thực hiện phương án duy trì niêm yết cổ phiếu của DNNN bị khó khăn do bất khả kháng sẽ giúp cho cho doanh nghiệp này có cơ sở để duy trì hạn mức tín dụng và tránh nguy cơ giảm xếp hạng tín nhiệm của doanh nghiệp đối với các đối tác, các tổ chức tín dụng qua đó</w:t>
      </w:r>
      <w:r w:rsidRPr="004A56B3">
        <w:rPr>
          <w:rFonts w:eastAsia="Calibri"/>
          <w:szCs w:val="22"/>
          <w:lang w:val="nl-NL"/>
        </w:rPr>
        <w:t xml:space="preserve"> g</w:t>
      </w:r>
      <w:r w:rsidR="00304055" w:rsidRPr="004A56B3">
        <w:rPr>
          <w:rFonts w:eastAsia="Calibri"/>
          <w:lang w:val="pt-BR"/>
        </w:rPr>
        <w:t>iúp tăng khả năng thanh toán cũng như cân đối dòng tiền của DNNN trong việc thanh toán các khoản nợ, đặc biệt là các khoản nợ vay có bảo lãnh Chính phủ (nếu có)</w:t>
      </w:r>
      <w:r w:rsidRPr="004A56B3">
        <w:rPr>
          <w:rFonts w:eastAsia="Calibri"/>
          <w:szCs w:val="22"/>
          <w:lang w:val="pt-BR"/>
        </w:rPr>
        <w:t>;</w:t>
      </w:r>
      <w:r w:rsidR="00304055" w:rsidRPr="004A56B3">
        <w:rPr>
          <w:rFonts w:eastAsia="Calibri"/>
          <w:lang w:val="pt-BR"/>
        </w:rPr>
        <w:t xml:space="preserve"> DNNN đó có thể duy trì các cam kết, hỗ trợ giảm giá/giãn hoãn thanh toán, gia tăng lợi thế trong đàm phán tái cơ cấu nợ với các nhà cung cấp, đặc biệt là các đối tác đã tin tưởng vào uy tín và hình ảnh của DNNN trên thị trường vốn, thị trường chứng khoán.</w:t>
      </w:r>
    </w:p>
    <w:p w:rsidR="00304055" w:rsidRPr="004A56B3" w:rsidRDefault="002511FD" w:rsidP="00F86EF5">
      <w:pPr>
        <w:widowControl w:val="0"/>
        <w:tabs>
          <w:tab w:val="left" w:pos="851"/>
        </w:tabs>
        <w:spacing w:before="120" w:after="120" w:line="252" w:lineRule="auto"/>
        <w:ind w:firstLine="720"/>
        <w:jc w:val="both"/>
        <w:rPr>
          <w:rFonts w:eastAsia="Calibri"/>
          <w:szCs w:val="22"/>
          <w:lang w:val="nl-NL"/>
        </w:rPr>
      </w:pPr>
      <w:r w:rsidRPr="004A56B3">
        <w:rPr>
          <w:rFonts w:eastAsia="Calibri"/>
          <w:szCs w:val="22"/>
          <w:lang w:val="nl-NL"/>
        </w:rPr>
        <w:t xml:space="preserve">+ </w:t>
      </w:r>
      <w:r w:rsidR="00304055" w:rsidRPr="004A56B3">
        <w:rPr>
          <w:rFonts w:eastAsia="Calibri"/>
          <w:szCs w:val="22"/>
          <w:lang w:val="pt-BR"/>
        </w:rPr>
        <w:t>Giữ uy tín cho DNNN trong mắt công chúng cũng như các nhà đầu tư, tạo điều kiện thuận lợi cho DNNN tiếp cận huy động vốn trên thị trường để doanh nghiệp phát triển bền vững. Cổ phiếu của doanh nghiệp duy trì niêm yết liên tục sẽ tạo điều kiện thuận lợi cho quá trình chuyển nhượng cổ phiếu của các cổ đông, qua đó tăng tính thu hút của cổ phiếu đối với những nhà đầu tư khi doanh nghiệp huy động vốn trên thị trường.</w:t>
      </w:r>
    </w:p>
    <w:p w:rsidR="00304055" w:rsidRPr="004A56B3" w:rsidRDefault="00304055" w:rsidP="00F86EF5">
      <w:pPr>
        <w:widowControl w:val="0"/>
        <w:spacing w:before="120" w:after="120" w:line="252" w:lineRule="auto"/>
        <w:ind w:firstLine="720"/>
        <w:jc w:val="both"/>
        <w:rPr>
          <w:rFonts w:eastAsia="Calibri"/>
          <w:szCs w:val="22"/>
          <w:lang w:val="pt-BR"/>
        </w:rPr>
      </w:pPr>
      <w:r w:rsidRPr="004A56B3">
        <w:rPr>
          <w:rFonts w:eastAsia="Calibri"/>
          <w:szCs w:val="22"/>
          <w:lang w:val="pt-BR"/>
        </w:rPr>
        <w:t xml:space="preserve">Tóm lại, việc duy trì niêm yết cổ phiếu trên các </w:t>
      </w:r>
      <w:r w:rsidR="001072E8">
        <w:rPr>
          <w:rFonts w:eastAsia="Calibri"/>
          <w:szCs w:val="22"/>
          <w:lang w:val="pt-BR"/>
        </w:rPr>
        <w:t>Sở giao dịch</w:t>
      </w:r>
      <w:r w:rsidRPr="004A56B3">
        <w:rPr>
          <w:rFonts w:eastAsia="Calibri"/>
          <w:szCs w:val="22"/>
          <w:lang w:val="pt-BR"/>
        </w:rPr>
        <w:t xml:space="preserve"> chứng khoán đối với các cổ phiếu của các công ty bị ảnh hưởng do yếu tố khách quan, bất khả kháng dẫn đến không còn đủ điều kiện niêm yết cổ phiếu trên </w:t>
      </w:r>
      <w:r w:rsidR="001072E8">
        <w:rPr>
          <w:rFonts w:eastAsia="Calibri"/>
          <w:szCs w:val="22"/>
          <w:lang w:val="pt-BR"/>
        </w:rPr>
        <w:t>Sở giao dịch</w:t>
      </w:r>
      <w:r w:rsidRPr="004A56B3">
        <w:rPr>
          <w:rFonts w:eastAsia="Calibri"/>
          <w:szCs w:val="22"/>
          <w:lang w:val="pt-BR"/>
        </w:rPr>
        <w:t xml:space="preserve"> chứng khoán theo quy định là cần thiết. Tuy nhiên, đánh giá về sự cần thiết, tác động của phương án duy trì niêm yết cổ phiếu của các doanh nghiệp này sẽ cần được xem xét, đánh giá cụ thể, chi tiết đối với từng trường hợp cá biệt, trong đó, cũng cần lưu ý đến thời gian cho phép duy trì niêm yết đặc biệt, kế hoạch khắc phục hậu quả và thời gian doanh nghiệp có thể khôi phục, đáp ứng đầy đủ các điều kiện duy trì niêm yết trở lại</w:t>
      </w:r>
      <w:r w:rsidR="00DF4C58" w:rsidRPr="004A56B3">
        <w:rPr>
          <w:rStyle w:val="FootnoteReference"/>
          <w:rFonts w:eastAsia="Calibri"/>
          <w:szCs w:val="22"/>
          <w:lang w:val="pt-BR"/>
        </w:rPr>
        <w:footnoteReference w:id="2"/>
      </w:r>
      <w:r w:rsidRPr="004A56B3">
        <w:rPr>
          <w:rFonts w:eastAsia="Calibri"/>
          <w:szCs w:val="22"/>
          <w:lang w:val="pt-BR"/>
        </w:rPr>
        <w:t xml:space="preserve">. </w:t>
      </w:r>
    </w:p>
    <w:p w:rsidR="002511FD" w:rsidRPr="000342D3" w:rsidRDefault="002511FD" w:rsidP="00F86EF5">
      <w:pPr>
        <w:widowControl w:val="0"/>
        <w:spacing w:before="120" w:after="120" w:line="252" w:lineRule="auto"/>
        <w:ind w:firstLine="720"/>
        <w:jc w:val="both"/>
        <w:rPr>
          <w:rFonts w:eastAsia="Calibri"/>
          <w:i/>
          <w:szCs w:val="22"/>
          <w:lang w:val="pt-BR"/>
        </w:rPr>
      </w:pPr>
      <w:r w:rsidRPr="000342D3">
        <w:rPr>
          <w:rFonts w:eastAsia="Calibri"/>
          <w:i/>
          <w:szCs w:val="22"/>
          <w:lang w:val="pt-BR"/>
        </w:rPr>
        <w:t>(ii) Tác động tiêu cực</w:t>
      </w:r>
    </w:p>
    <w:p w:rsidR="006C3D53" w:rsidRDefault="002552D9" w:rsidP="00F86EF5">
      <w:pPr>
        <w:widowControl w:val="0"/>
        <w:spacing w:before="120" w:after="120" w:line="252" w:lineRule="auto"/>
        <w:ind w:firstLine="720"/>
        <w:jc w:val="both"/>
        <w:rPr>
          <w:rFonts w:eastAsia="Calibri"/>
          <w:bCs/>
          <w:szCs w:val="22"/>
          <w:lang w:val="nl-NL"/>
        </w:rPr>
      </w:pPr>
      <w:r w:rsidRPr="004A56B3">
        <w:rPr>
          <w:rFonts w:eastAsia="Calibri"/>
          <w:szCs w:val="22"/>
          <w:lang w:val="pt-BR"/>
        </w:rPr>
        <w:t xml:space="preserve"> </w:t>
      </w:r>
      <w:r w:rsidR="008B08F8" w:rsidRPr="004A56B3">
        <w:rPr>
          <w:rFonts w:eastAsia="Calibri"/>
          <w:szCs w:val="22"/>
          <w:lang w:val="pt-BR"/>
        </w:rPr>
        <w:t>Để đảm bảo đ</w:t>
      </w:r>
      <w:r w:rsidR="006E4B06" w:rsidRPr="004A56B3">
        <w:rPr>
          <w:rFonts w:eastAsia="Calibri"/>
          <w:szCs w:val="22"/>
          <w:lang w:val="pt-BR"/>
        </w:rPr>
        <w:t xml:space="preserve">ánh giá toàn diện về tác động của quy định này, </w:t>
      </w:r>
      <w:r w:rsidR="006E4B06" w:rsidRPr="004A56B3">
        <w:rPr>
          <w:rFonts w:eastAsia="Calibri"/>
          <w:bCs/>
          <w:szCs w:val="22"/>
          <w:lang w:val="pt-BR"/>
        </w:rPr>
        <w:t>b</w:t>
      </w:r>
      <w:r w:rsidRPr="004A56B3">
        <w:rPr>
          <w:rFonts w:eastAsia="Calibri"/>
          <w:bCs/>
          <w:szCs w:val="22"/>
          <w:lang w:val="pt-BR"/>
        </w:rPr>
        <w:t>ên cạnh những ưu điểm của phương án duy trì niêm yết cổ phiếu</w:t>
      </w:r>
      <w:r w:rsidR="00660D5E" w:rsidRPr="004A56B3">
        <w:rPr>
          <w:rFonts w:eastAsia="Calibri"/>
          <w:bCs/>
          <w:szCs w:val="22"/>
          <w:lang w:val="pt-BR"/>
        </w:rPr>
        <w:t xml:space="preserve"> mà </w:t>
      </w:r>
      <w:r w:rsidR="00ED3E84" w:rsidRPr="004A56B3">
        <w:rPr>
          <w:rFonts w:eastAsia="Calibri"/>
          <w:bCs/>
          <w:szCs w:val="22"/>
          <w:lang w:val="pt-BR"/>
        </w:rPr>
        <w:t>UBQLVNN</w:t>
      </w:r>
      <w:r w:rsidR="00660D5E" w:rsidRPr="004A56B3">
        <w:rPr>
          <w:rFonts w:eastAsia="Calibri"/>
          <w:bCs/>
          <w:szCs w:val="22"/>
          <w:lang w:val="pt-BR"/>
        </w:rPr>
        <w:t xml:space="preserve"> đã nêu trên</w:t>
      </w:r>
      <w:r w:rsidRPr="004A56B3">
        <w:rPr>
          <w:rFonts w:eastAsia="Calibri"/>
          <w:bCs/>
          <w:szCs w:val="22"/>
          <w:lang w:val="pt-BR"/>
        </w:rPr>
        <w:t xml:space="preserve">, </w:t>
      </w:r>
      <w:r w:rsidRPr="004A56B3">
        <w:rPr>
          <w:rFonts w:eastAsia="Calibri"/>
          <w:bCs/>
          <w:szCs w:val="22"/>
          <w:lang w:val="nl-NL"/>
        </w:rPr>
        <w:t xml:space="preserve">Bộ Tài chính bổ sung một số hạn chế của phương án này như sau: </w:t>
      </w:r>
    </w:p>
    <w:p w:rsidR="00E36AE7" w:rsidRPr="00E36AE7" w:rsidRDefault="00E36AE7" w:rsidP="00F86EF5">
      <w:pPr>
        <w:tabs>
          <w:tab w:val="left" w:pos="7425"/>
        </w:tabs>
        <w:spacing w:before="120" w:after="120" w:line="252" w:lineRule="auto"/>
        <w:ind w:firstLine="720"/>
        <w:jc w:val="both"/>
        <w:rPr>
          <w:bCs/>
          <w:lang w:val="nl-NL"/>
        </w:rPr>
      </w:pPr>
      <w:r w:rsidRPr="00E36AE7">
        <w:rPr>
          <w:bCs/>
          <w:lang w:val="nl-NL"/>
        </w:rPr>
        <w:t xml:space="preserve">Việc có cơ chế riêng cho các doanh nghiệp không đủ điều kiện niêm yết có thể gây ra những tác động nhìn ở khía cạnh tuân thủ pháp luật, chính sách như </w:t>
      </w:r>
      <w:r w:rsidRPr="00E36AE7">
        <w:rPr>
          <w:bCs/>
          <w:lang w:val="nl-NL"/>
        </w:rPr>
        <w:lastRenderedPageBreak/>
        <w:t xml:space="preserve">ảnh hưởng tới môi trường đầu tư, cụ thể là trong bối cảnh pháp luật đầu tư nói riêng và pháp luật Việt Nam nói chung đang dần đổi mới phương thức quản lý đối với hoạt động đầu tư, hoạt động kinh doanh của doanh nghiệp theo hướng hạn chế sự can thiệp hành chính, đối xử công bằng và bình đẳng giữa các thành phần kinh tế, giữa các doanh nghiệp. Theo quy định tại khoản 2 Điều 5 Luật Chứng khoán </w:t>
      </w:r>
      <w:r w:rsidRPr="00E36AE7">
        <w:rPr>
          <w:bCs/>
          <w:i/>
          <w:lang w:val="nl-NL"/>
        </w:rPr>
        <w:t>“Nguyên tắc hoạt động của chứng khoán và thị trường chứng khoán là công bằng, công khai, minh bạch”.</w:t>
      </w:r>
      <w:r w:rsidRPr="00E36AE7">
        <w:rPr>
          <w:bCs/>
          <w:lang w:val="nl-NL"/>
        </w:rPr>
        <w:t xml:space="preserve"> Theo quy định tại khoản 1 Điều 5 Luật Doanh nghiệp </w:t>
      </w:r>
      <w:r w:rsidRPr="00E36AE7">
        <w:rPr>
          <w:bCs/>
          <w:i/>
          <w:lang w:val="nl-NL"/>
        </w:rPr>
        <w:t>“Nhà nước công nhận sự tồn tại lâu dài và phát triển của các loại hình doanh nghiệp được quy định tại Luật này; đảm bảo bình đẳng trước pháp luật của các doanh nghiệp không phân biệt hình thức sở hữu và thành phần kinh tế ...”.</w:t>
      </w:r>
      <w:r w:rsidRPr="00E36AE7">
        <w:rPr>
          <w:bCs/>
          <w:lang w:val="nl-NL"/>
        </w:rPr>
        <w:t xml:space="preserve"> Theo quy định tại khoản 2 Điều 5 Luật Cạnh tranh </w:t>
      </w:r>
      <w:r w:rsidRPr="00E36AE7">
        <w:rPr>
          <w:bCs/>
          <w:i/>
          <w:lang w:val="nl-NL"/>
        </w:rPr>
        <w:t>“Hoạt động cạnh tranh được thực hiện theo nguyên tắc trung thực, công bằng và lành mạnh, không xâm phạm đến lợi ích của Nhà nước, lợi ích công cộng, quyền và lợi ích hợp pháp của doanh nghiệp, của người tiêu dùng”</w:t>
      </w:r>
      <w:r w:rsidRPr="00E36AE7">
        <w:rPr>
          <w:bCs/>
          <w:lang w:val="nl-NL"/>
        </w:rPr>
        <w:t>. Việc áp dụng cơ chế riêng có thể dẫn đến sự không công bằng đối với các doanh nghiệp khác, có thể gây tác động tiêu cực trên thị trường chứng khoán và có thể chưa đảm bảo nguyên tắc hoạt động về chứng khoán và thị trường chứng khoán là công bằng, công khai và minh bạch, nguyên tắc bình đẳng trước pháp luật của các doanh nghiệp, nguyên tắc hoạt động cạnh tranh trong đầu tư kinh doanh đã được nêu tại Luật Chứng khoán, Luật Doanh nghiệp, Luật cạnh tranh.</w:t>
      </w:r>
    </w:p>
    <w:p w:rsidR="00AF66BE" w:rsidRPr="004A56B3" w:rsidRDefault="00E36AE7" w:rsidP="00F86EF5">
      <w:pPr>
        <w:widowControl w:val="0"/>
        <w:tabs>
          <w:tab w:val="right" w:leader="dot" w:pos="7920"/>
        </w:tabs>
        <w:spacing w:before="120" w:after="120" w:line="252" w:lineRule="auto"/>
        <w:ind w:firstLine="720"/>
        <w:jc w:val="both"/>
        <w:rPr>
          <w:lang w:val="pt-BR"/>
        </w:rPr>
      </w:pPr>
      <w:r w:rsidRPr="004A56B3">
        <w:rPr>
          <w:lang w:val="pt-BR"/>
        </w:rPr>
        <w:t xml:space="preserve"> </w:t>
      </w:r>
      <w:r w:rsidR="00AF66BE" w:rsidRPr="004A56B3">
        <w:rPr>
          <w:lang w:val="pt-BR"/>
        </w:rPr>
        <w:t>(</w:t>
      </w:r>
      <w:r w:rsidR="009D4127" w:rsidRPr="004A56B3">
        <w:rPr>
          <w:lang w:val="pt-BR"/>
        </w:rPr>
        <w:t>3</w:t>
      </w:r>
      <w:r w:rsidR="00AF66BE" w:rsidRPr="004A56B3">
        <w:rPr>
          <w:lang w:val="pt-BR"/>
        </w:rPr>
        <w:t>)</w:t>
      </w:r>
      <w:r w:rsidR="00A55BAB" w:rsidRPr="004A56B3">
        <w:rPr>
          <w:lang w:val="pt-BR"/>
        </w:rPr>
        <w:t xml:space="preserve"> Tác động về giới: </w:t>
      </w:r>
    </w:p>
    <w:p w:rsidR="00A55BAB" w:rsidRPr="004A56B3" w:rsidRDefault="00A55BAB" w:rsidP="00F86EF5">
      <w:pPr>
        <w:widowControl w:val="0"/>
        <w:tabs>
          <w:tab w:val="right" w:leader="dot" w:pos="7920"/>
        </w:tabs>
        <w:spacing w:before="120" w:after="120" w:line="252" w:lineRule="auto"/>
        <w:ind w:firstLine="720"/>
        <w:jc w:val="both"/>
        <w:rPr>
          <w:lang w:val="pt-BR"/>
        </w:rPr>
      </w:pPr>
      <w:r w:rsidRPr="004A56B3">
        <w:rPr>
          <w:lang w:val="pt-BR"/>
        </w:rPr>
        <w:t xml:space="preserve">Chính sách không ảnh hưởng đến cơ hội, điều kiện, năng lực thực hiện và thụ hưởng các quyền, lợi ích của mỗi giới do chính sách được áp dụng chung, không mang tính phân biệt giới. </w:t>
      </w:r>
    </w:p>
    <w:p w:rsidR="00AF66BE" w:rsidRPr="004A56B3" w:rsidRDefault="00AF66BE" w:rsidP="00F86EF5">
      <w:pPr>
        <w:widowControl w:val="0"/>
        <w:tabs>
          <w:tab w:val="right" w:leader="dot" w:pos="7920"/>
        </w:tabs>
        <w:spacing w:before="120" w:after="120" w:line="252" w:lineRule="auto"/>
        <w:ind w:firstLine="720"/>
        <w:jc w:val="both"/>
        <w:rPr>
          <w:lang w:val="pt-BR"/>
        </w:rPr>
      </w:pPr>
      <w:r w:rsidRPr="004A56B3">
        <w:rPr>
          <w:lang w:val="pt-BR"/>
        </w:rPr>
        <w:t>(</w:t>
      </w:r>
      <w:r w:rsidR="009D4127" w:rsidRPr="004A56B3">
        <w:rPr>
          <w:lang w:val="pt-BR"/>
        </w:rPr>
        <w:t>4</w:t>
      </w:r>
      <w:r w:rsidRPr="004A56B3">
        <w:rPr>
          <w:lang w:val="pt-BR"/>
        </w:rPr>
        <w:t>)</w:t>
      </w:r>
      <w:r w:rsidR="00A55BAB" w:rsidRPr="004A56B3">
        <w:rPr>
          <w:lang w:val="pt-BR"/>
        </w:rPr>
        <w:t xml:space="preserve"> Tác động của thủ tục hành chính: </w:t>
      </w:r>
    </w:p>
    <w:p w:rsidR="00A55BAB" w:rsidRPr="004A56B3" w:rsidRDefault="00A55BAB" w:rsidP="00F86EF5">
      <w:pPr>
        <w:widowControl w:val="0"/>
        <w:tabs>
          <w:tab w:val="right" w:leader="dot" w:pos="7920"/>
        </w:tabs>
        <w:spacing w:before="120" w:after="120" w:line="252" w:lineRule="auto"/>
        <w:ind w:firstLine="720"/>
        <w:jc w:val="both"/>
        <w:rPr>
          <w:lang w:val="pt-BR"/>
        </w:rPr>
      </w:pPr>
      <w:r w:rsidRPr="004A56B3">
        <w:rPr>
          <w:lang w:val="pt-BR"/>
        </w:rPr>
        <w:t>C</w:t>
      </w:r>
      <w:r w:rsidRPr="004A56B3">
        <w:rPr>
          <w:lang w:val="vi-VN"/>
        </w:rPr>
        <w:t xml:space="preserve">hính sách </w:t>
      </w:r>
      <w:r w:rsidRPr="004A56B3">
        <w:rPr>
          <w:lang w:val="pt-BR"/>
        </w:rPr>
        <w:t xml:space="preserve">không phát sinh thủ tục hành chính. </w:t>
      </w:r>
    </w:p>
    <w:p w:rsidR="00F84D15" w:rsidRPr="004A56B3" w:rsidRDefault="00A55BAB" w:rsidP="00F86EF5">
      <w:pPr>
        <w:widowControl w:val="0"/>
        <w:tabs>
          <w:tab w:val="right" w:leader="dot" w:pos="7920"/>
        </w:tabs>
        <w:spacing w:before="120" w:after="120" w:line="252" w:lineRule="auto"/>
        <w:ind w:firstLine="720"/>
        <w:jc w:val="both"/>
        <w:rPr>
          <w:b/>
          <w:i/>
          <w:lang w:val="nl-NL"/>
        </w:rPr>
      </w:pPr>
      <w:r w:rsidRPr="004A56B3">
        <w:rPr>
          <w:b/>
          <w:i/>
          <w:lang w:val="nl-NL"/>
        </w:rPr>
        <w:t>1.</w:t>
      </w:r>
      <w:r w:rsidR="00F84D15" w:rsidRPr="004A56B3">
        <w:rPr>
          <w:b/>
          <w:i/>
          <w:lang w:val="nl-NL"/>
        </w:rPr>
        <w:t>3</w:t>
      </w:r>
      <w:r w:rsidRPr="004A56B3">
        <w:rPr>
          <w:b/>
          <w:i/>
          <w:lang w:val="nl-NL"/>
        </w:rPr>
        <w:t xml:space="preserve">. </w:t>
      </w:r>
      <w:r w:rsidR="00F84D15" w:rsidRPr="004A56B3">
        <w:rPr>
          <w:b/>
          <w:i/>
          <w:lang w:val="nl-NL"/>
        </w:rPr>
        <w:t>Lựa chọn giải pháp</w:t>
      </w:r>
      <w:r w:rsidRPr="004A56B3">
        <w:rPr>
          <w:b/>
          <w:i/>
          <w:lang w:val="nl-NL"/>
        </w:rPr>
        <w:t xml:space="preserve"> </w:t>
      </w:r>
    </w:p>
    <w:p w:rsidR="00A55BAB" w:rsidRPr="004A56B3" w:rsidRDefault="00B406DE" w:rsidP="00F86EF5">
      <w:pPr>
        <w:widowControl w:val="0"/>
        <w:tabs>
          <w:tab w:val="right" w:leader="dot" w:pos="7920"/>
        </w:tabs>
        <w:spacing w:before="120" w:after="120" w:line="252" w:lineRule="auto"/>
        <w:ind w:firstLine="720"/>
        <w:jc w:val="both"/>
        <w:rPr>
          <w:lang w:val="nl-NL"/>
        </w:rPr>
      </w:pPr>
      <w:r w:rsidRPr="004A56B3">
        <w:rPr>
          <w:lang w:val="nl-NL"/>
        </w:rPr>
        <w:t xml:space="preserve">Trên cơ sở ý kiến chỉ đạo của Văn phòng Chính phủ và ý kiến đề xuất của </w:t>
      </w:r>
      <w:r w:rsidR="00ED3E84" w:rsidRPr="004A56B3">
        <w:rPr>
          <w:lang w:val="nl-NL"/>
        </w:rPr>
        <w:t>UBQLVNN</w:t>
      </w:r>
      <w:r w:rsidRPr="004A56B3">
        <w:rPr>
          <w:lang w:val="nl-NL"/>
        </w:rPr>
        <w:t>, Bộ Tài chính t</w:t>
      </w:r>
      <w:r w:rsidR="00A55BAB" w:rsidRPr="004A56B3">
        <w:rPr>
          <w:lang w:val="nl-NL"/>
        </w:rPr>
        <w:t>rình Chính phủ lựa chọn Giải pháp 2.</w:t>
      </w:r>
    </w:p>
    <w:p w:rsidR="00A55BAB" w:rsidRPr="004A56B3" w:rsidRDefault="00A55BAB" w:rsidP="00F86EF5">
      <w:pPr>
        <w:widowControl w:val="0"/>
        <w:tabs>
          <w:tab w:val="right" w:leader="dot" w:pos="7920"/>
        </w:tabs>
        <w:spacing w:before="120" w:after="120" w:line="252" w:lineRule="auto"/>
        <w:ind w:firstLine="720"/>
        <w:jc w:val="both"/>
        <w:rPr>
          <w:b/>
          <w:lang w:val="nl-NL"/>
        </w:rPr>
      </w:pPr>
      <w:r w:rsidRPr="004A56B3">
        <w:rPr>
          <w:b/>
          <w:lang w:val="nl-NL"/>
        </w:rPr>
        <w:t xml:space="preserve">2. </w:t>
      </w:r>
      <w:r w:rsidR="00F84D15" w:rsidRPr="004A56B3">
        <w:rPr>
          <w:b/>
          <w:lang w:val="nl-NL"/>
        </w:rPr>
        <w:t xml:space="preserve">Chính sách 2: </w:t>
      </w:r>
      <w:r w:rsidRPr="004A56B3">
        <w:rPr>
          <w:b/>
          <w:lang w:val="nl-NL"/>
        </w:rPr>
        <w:t>Chính sách về gia hạn thời hạn triển khai mô hình đối tác bù trừ trung tâm CCP</w:t>
      </w:r>
    </w:p>
    <w:p w:rsidR="00A55BAB" w:rsidRPr="004A56B3" w:rsidRDefault="00A55BAB" w:rsidP="00F86EF5">
      <w:pPr>
        <w:widowControl w:val="0"/>
        <w:tabs>
          <w:tab w:val="right" w:leader="dot" w:pos="7920"/>
        </w:tabs>
        <w:spacing w:before="120" w:after="120" w:line="252" w:lineRule="auto"/>
        <w:ind w:firstLine="720"/>
        <w:jc w:val="both"/>
        <w:rPr>
          <w:b/>
          <w:i/>
          <w:lang w:val="nl-NL"/>
        </w:rPr>
      </w:pPr>
      <w:r w:rsidRPr="004A56B3">
        <w:rPr>
          <w:b/>
          <w:i/>
          <w:lang w:val="nl-NL"/>
        </w:rPr>
        <w:t>2.1. Xác định vấn đề bất cập</w:t>
      </w:r>
      <w:r w:rsidR="00FC795D" w:rsidRPr="004A56B3">
        <w:rPr>
          <w:b/>
          <w:i/>
          <w:lang w:val="nl-NL"/>
        </w:rPr>
        <w:t xml:space="preserve"> và mục tiêu giải quyết vấn đề</w:t>
      </w:r>
    </w:p>
    <w:p w:rsidR="00FC795D" w:rsidRPr="004A56B3" w:rsidRDefault="00FC795D" w:rsidP="00F86EF5">
      <w:pPr>
        <w:widowControl w:val="0"/>
        <w:tabs>
          <w:tab w:val="right" w:leader="dot" w:pos="7920"/>
        </w:tabs>
        <w:spacing w:before="120" w:after="120" w:line="252" w:lineRule="auto"/>
        <w:ind w:firstLine="720"/>
        <w:jc w:val="both"/>
        <w:rPr>
          <w:i/>
          <w:lang w:val="nl-NL"/>
        </w:rPr>
      </w:pPr>
      <w:r w:rsidRPr="004A56B3">
        <w:rPr>
          <w:i/>
          <w:lang w:val="nl-NL"/>
        </w:rPr>
        <w:t>a. Xác định vấn đề bất cập</w:t>
      </w:r>
    </w:p>
    <w:p w:rsidR="002913BF" w:rsidRPr="002913BF" w:rsidRDefault="002913BF" w:rsidP="00880AF9">
      <w:pPr>
        <w:keepNext/>
        <w:widowControl w:val="0"/>
        <w:spacing w:before="120" w:after="120" w:line="21" w:lineRule="atLeast"/>
        <w:ind w:firstLine="709"/>
        <w:jc w:val="both"/>
        <w:rPr>
          <w:lang w:val="pl-PL"/>
        </w:rPr>
      </w:pPr>
      <w:r w:rsidRPr="002913BF">
        <w:rPr>
          <w:lang w:val="pl-PL"/>
        </w:rPr>
        <w:t>Cơ chế đối tác bù trừ trung tâm (Central counterparty) dự kiến được đưa vào áp dụng cho thị trường chứng khoán cơ sở vào năm 2024 trên cơ sở đã được nghiên cứu và tích hợp trong hệ thống công nghệ thông tin thuộc gói thầu thiết kế, giải pháp, cung cấp lắp đặt, chuyển giao hệ thống công nghệ thông tin (hệ thống KRX) của Sở giao dịch chứng khoán T</w:t>
      </w:r>
      <w:r w:rsidRPr="002913BF">
        <w:rPr>
          <w:lang w:val="vi-VN"/>
        </w:rPr>
        <w:t>hành phố</w:t>
      </w:r>
      <w:r w:rsidRPr="002913BF">
        <w:rPr>
          <w:lang w:val="pl-PL"/>
        </w:rPr>
        <w:t xml:space="preserve"> Hồ Chí Minh. Trên cơ sở </w:t>
      </w:r>
      <w:r w:rsidRPr="002913BF">
        <w:rPr>
          <w:lang w:val="pl-PL"/>
        </w:rPr>
        <w:lastRenderedPageBreak/>
        <w:t xml:space="preserve">đó, Nghị định số 155/2020/NĐ-CP đã có quy định về cơ chế đối tác bù trừ trung tâm (CCP), gồm các quy định liên quan đến điều kiện, hồ sơ, trình tự, thủ tục đăng ký cung cấp dịch vụ bù trừ, thanh toán giao dịch chứng khoán; quyền và nghĩa vụ của Tổng công ty lưu ký và bù trừ chứng khoán Việt Nam; quyền và nghĩa vụ của thành viên bù trừ đối với hoạt động bù trừ, thanh toán giao dịch chứng khoán. Đồng thời, khoản 13 Điều 310 Nghị định số 155/2020/NĐ-CP quy định việc triển khai vận hành hệ thống bù trừ và thanh toán giao dịch chứng khoán theo mô hình đối tác bù trừ trung tâm như sau: </w:t>
      </w:r>
      <w:r w:rsidRPr="002913BF">
        <w:rPr>
          <w:i/>
          <w:lang w:val="pl-PL"/>
        </w:rPr>
        <w:t>“Trong thời hạn 03 năm kể từ ngày Nghị định này có hiệu lực thi hành, hoạt động bù trừ và thanh toán giao dịch chứng khoán theo cơ chế đối tác bù trừ trung tâm phải được triển khai thực hiện theo quy định tại Nghị định này”</w:t>
      </w:r>
      <w:r w:rsidRPr="002913BF">
        <w:rPr>
          <w:lang w:val="pl-PL"/>
        </w:rPr>
        <w:t>. Như vậy, hoạt động bù trừ, thanh toán giao dịch chứng khoán theo cơ chế CCP cho thị trường chứng khoán cơ sở phải được triển khai kể từ ngày 01/01/2024.</w:t>
      </w:r>
    </w:p>
    <w:p w:rsidR="002913BF" w:rsidRPr="002913BF" w:rsidRDefault="002913BF" w:rsidP="00880AF9">
      <w:pPr>
        <w:keepNext/>
        <w:widowControl w:val="0"/>
        <w:spacing w:before="120" w:after="120" w:line="21" w:lineRule="atLeast"/>
        <w:ind w:firstLine="709"/>
        <w:jc w:val="both"/>
        <w:rPr>
          <w:lang w:val="pl-PL"/>
        </w:rPr>
      </w:pPr>
      <w:r w:rsidRPr="002913BF">
        <w:rPr>
          <w:lang w:val="pl-PL"/>
        </w:rPr>
        <w:t xml:space="preserve">Tuy nhiên, qua rà soát đánh giá, Bộ Tài chính nhận thấy rằng trong quá trình chuẩn bị cho việc triển khai cơ chế CCP đã phát sinh một số khó khăn và vướng mắc dẫn tới việc </w:t>
      </w:r>
      <w:r w:rsidRPr="002913BF">
        <w:rPr>
          <w:lang w:val="vi-VN"/>
        </w:rPr>
        <w:t>chưa</w:t>
      </w:r>
      <w:r w:rsidRPr="002913BF">
        <w:rPr>
          <w:lang w:val="pl-PL"/>
        </w:rPr>
        <w:t xml:space="preserve"> thể triển khai </w:t>
      </w:r>
      <w:r w:rsidRPr="002913BF">
        <w:rPr>
          <w:lang w:val="vi-VN"/>
        </w:rPr>
        <w:t xml:space="preserve">cơ chế </w:t>
      </w:r>
      <w:r w:rsidRPr="002913BF">
        <w:rPr>
          <w:lang w:val="pl-PL"/>
        </w:rPr>
        <w:t>CCP từ ngày 01/01/2024, cụ thể như sau:</w:t>
      </w:r>
    </w:p>
    <w:p w:rsidR="002913BF" w:rsidRPr="002913BF" w:rsidRDefault="002913BF" w:rsidP="00880AF9">
      <w:pPr>
        <w:keepNext/>
        <w:widowControl w:val="0"/>
        <w:spacing w:before="120" w:after="120" w:line="21" w:lineRule="atLeast"/>
        <w:ind w:firstLine="709"/>
        <w:jc w:val="both"/>
        <w:rPr>
          <w:lang w:val="vi-VN"/>
        </w:rPr>
      </w:pPr>
      <w:r w:rsidRPr="002913BF">
        <w:rPr>
          <w:i/>
          <w:lang w:val="pl-PL"/>
        </w:rPr>
        <w:t xml:space="preserve">(i) </w:t>
      </w:r>
      <w:r w:rsidRPr="002913BF">
        <w:rPr>
          <w:i/>
          <w:lang w:val="vi-VN"/>
        </w:rPr>
        <w:t>Vướng mắc liên quan đến quy định pháp luật ngân hàng về việc cho phép các ngân hàng thương mại, chi nhánh ngân hàng nước ngoài tham gia làm thành viên bù trừ trên thị trường chứng khoán cơ sở khi triển khai mô hình đối tác bù trừ trung tâm CCP</w:t>
      </w:r>
    </w:p>
    <w:p w:rsidR="002913BF" w:rsidRPr="002913BF" w:rsidRDefault="002913BF" w:rsidP="00880AF9">
      <w:pPr>
        <w:keepNext/>
        <w:widowControl w:val="0"/>
        <w:spacing w:before="120" w:after="120" w:line="21" w:lineRule="atLeast"/>
        <w:ind w:firstLine="709"/>
        <w:jc w:val="both"/>
        <w:rPr>
          <w:lang w:val="vi-VN"/>
        </w:rPr>
      </w:pPr>
      <w:r w:rsidRPr="002913BF">
        <w:rPr>
          <w:lang w:val="vi-VN"/>
        </w:rPr>
        <w:t xml:space="preserve">Để triển khai cơ chế CCP, Luật Chứng khoán 2019 và các văn bản hướng dẫn (Điều 56 Luật Chứng khoán 2019, Điều 151, Điều 159 Nghị định 155/2020/NĐ-CP) đã quy định cho phép các ngân hàng thương mại, chi nhánh ngân hàng nước ngoài được đăng ký trở thành thành viên bù trừ của hệ thống bù trừ thanh toán CCP khi đáp ứng một số điều kiện cụ thể. Ngoài ra, khi trở thành thành viên bù trừ chứng khoán cơ sở, các ngân hàng thương mại, chi nhánh ngân hàng nước ngoài sẽ phải có trách nhiệm đảm bảo nghĩa vụ thanh toán của khách hàng bao gồm việc sử dụng tài sản của mình để thanh toán thay cho nhà đầu tư, thực hiện vay chứng khoán, mua vào bắt buộc để sửa lỗi giao dịch chứng khoán cho khách hàng khi khách hàng tạm thời mất khả năng thanh toán. Tuy nhiên, pháp luật ngân hàng (Điều 114 Luật Các tổ chức tín dụng 2024, khoản 3 Điều 1 Thông tư 28/2021/TT-NHNN và Quyết định số 949/QĐ-NHNN ngày 30/5/2022 về việc đính chính Thông tư số 28/2021/TT-NHNN) chỉ cho phép ngân hàng thương mại, chi nhánh ngân hàng nước ngoài được thực hiện bù trừ, thanh toán giao dịch chứng khoán phái sinh cho chính mình và chưa cho phép thực hiện bù trừ, thanh toán giao dịch chứng khoán trên thị trường chứng khoán cơ sở. Bên cạnh đó, các nghiệp vụ nêu trên của thành viên bù trừ là ngân hàng thương mại, chi nhánh ngân hàng nước ngoài sẽ có thể chưa phù hợp với quy định tại Luật Các tổ chức tín dụng 2024 và các văn bản hướng dẫn về việc ngân hàng thương mại, chi nhánh ngân hàng nước ngoài không được trực tiếp thực hiện mua bán chứng khoán mà phải thành lập hoặc mua lại công ty con, công ty liên kết để thực hiện </w:t>
      </w:r>
      <w:r w:rsidRPr="002913BF">
        <w:rPr>
          <w:lang w:val="vi-VN"/>
        </w:rPr>
        <w:lastRenderedPageBreak/>
        <w:t>hoạt động này (Điều 111 Luật Các tổ chức tín dụng 2024), quy định về giới hạn cấp tín dụng, tỷ lệ bảo đảm an toàn trong hoạt động của ngân hàng thương mại, chi nhánh ngân hàng nước ngoài (Điều 136 và Điều 138 Luật Các tổ chức tín dụng 2024).</w:t>
      </w:r>
    </w:p>
    <w:p w:rsidR="002913BF" w:rsidRPr="002913BF" w:rsidRDefault="002913BF" w:rsidP="00880AF9">
      <w:pPr>
        <w:keepNext/>
        <w:widowControl w:val="0"/>
        <w:spacing w:before="120" w:after="120" w:line="21" w:lineRule="atLeast"/>
        <w:ind w:firstLine="709"/>
        <w:jc w:val="both"/>
        <w:rPr>
          <w:i/>
          <w:lang w:val="pl-PL"/>
        </w:rPr>
      </w:pPr>
      <w:r w:rsidRPr="002913BF">
        <w:rPr>
          <w:i/>
          <w:lang w:val="pl-PL"/>
        </w:rPr>
        <w:t>(ii) Vướng mắc về thời điểm triển khai hệ thống công nghệ thông tin KRX</w:t>
      </w:r>
    </w:p>
    <w:p w:rsidR="002913BF" w:rsidRPr="002913BF" w:rsidRDefault="002913BF" w:rsidP="00880AF9">
      <w:pPr>
        <w:spacing w:before="120" w:after="120" w:line="21" w:lineRule="atLeast"/>
        <w:ind w:firstLine="720"/>
        <w:contextualSpacing/>
        <w:jc w:val="both"/>
        <w:rPr>
          <w:lang w:val="vi-VN"/>
        </w:rPr>
      </w:pPr>
      <w:r w:rsidRPr="002913BF">
        <w:rPr>
          <w:lang w:val="vi-VN"/>
        </w:rPr>
        <w:t xml:space="preserve">Hệ thống công nghệ thông tin KRX thuộc gói thầu “Thiết kế, giải pháp, cung cấp, lắp đặt, chuyển giao hệ thống </w:t>
      </w:r>
      <w:r w:rsidRPr="002913BF">
        <w:rPr>
          <w:lang w:val="pl-PL"/>
        </w:rPr>
        <w:t>c</w:t>
      </w:r>
      <w:r w:rsidRPr="002913BF">
        <w:rPr>
          <w:lang w:val="vi-VN"/>
        </w:rPr>
        <w:t>ông nghệ thông tin” (hệ thống KRX) được thiết kế với các tính năng phù hợp với mô hình</w:t>
      </w:r>
      <w:r w:rsidRPr="002913BF">
        <w:rPr>
          <w:lang w:val="pl-PL"/>
        </w:rPr>
        <w:t xml:space="preserve"> bù trừ</w:t>
      </w:r>
      <w:r w:rsidRPr="002913BF">
        <w:rPr>
          <w:lang w:val="vi-VN"/>
        </w:rPr>
        <w:t xml:space="preserve"> thanh toán CCP. Theo đó sau khi hệ thống này đi vào hoạt động, VSDC có thể triển khai cơ chế bù trừ thanh toán CCP theo các quy định đề ra. </w:t>
      </w:r>
    </w:p>
    <w:p w:rsidR="002913BF" w:rsidRPr="002913BF" w:rsidRDefault="002913BF" w:rsidP="00880AF9">
      <w:pPr>
        <w:spacing w:before="120" w:after="120" w:line="21" w:lineRule="atLeast"/>
        <w:ind w:firstLine="720"/>
        <w:contextualSpacing/>
        <w:jc w:val="both"/>
        <w:rPr>
          <w:lang w:val="vi-VN"/>
        </w:rPr>
      </w:pPr>
      <w:r w:rsidRPr="002913BF">
        <w:rPr>
          <w:lang w:val="vi-VN"/>
        </w:rPr>
        <w:t xml:space="preserve">Theo Quyết định số 35/QĐ-BTC ngày 12/1/2023 của Bộ Tài chính về việc phê duyệt điều chỉnh dự án đầu tư xây dựng Sở giao dịch chứng khoán Thành phố Hồ Chí Minh (Quyết định 35/QĐ-BTC) và  Quyết định số 1623/QĐ-BTC ngày 01/8/2023 của Bộ Tài chính về điều chỉnh Quyết định số 35/QĐ-BTC thì dự án KRX sẽ phải hoàn thành trong năm 2023. Tuy nhiên, vẫn còn có nhiều nguyên nhân dẫn đến việc triển khai gói thầu KRX chưa theo đúng kế hoạch đề ra, đặc biệt là các nội dung liên quan đến an ninh, an toàn của hệ thống theo quy định của pháp luật hiện hành. </w:t>
      </w:r>
    </w:p>
    <w:p w:rsidR="002913BF" w:rsidRPr="002913BF" w:rsidRDefault="002913BF" w:rsidP="00880AF9">
      <w:pPr>
        <w:spacing w:before="120" w:after="120" w:line="21" w:lineRule="atLeast"/>
        <w:ind w:firstLine="720"/>
        <w:contextualSpacing/>
        <w:jc w:val="both"/>
        <w:rPr>
          <w:rFonts w:eastAsia="Calibri"/>
          <w:lang w:val="vi-VN"/>
        </w:rPr>
      </w:pPr>
      <w:r w:rsidRPr="002913BF">
        <w:rPr>
          <w:lang w:val="vi-VN"/>
        </w:rPr>
        <w:t xml:space="preserve">Tính tới thời điểm hiện tại, về phía các đơn vị tại Việt Nam luôn đặt quyết tâm rất cao để đưa hệ thống công nghệ thông tin (CNTT) mới được hoàn thành và đưa vào hoạt động. Tuy nhiên, ngay cả khi hệ thống CNTT KRX được đưa vào hoạt động thì vẫn cần thời gian nhất định để chuẩn bị cho việc triển khai cơ chế CCP (bao gồm việc kiểm thử mô hình bù trừ thanh toán mới, kết nối giữa hệ thống giao dịch, thanh toán với hệ thống của các thành viên thị trường, chuyển đổi dữ liệu hệ thống …). </w:t>
      </w:r>
    </w:p>
    <w:p w:rsidR="00C37602" w:rsidRPr="002913BF" w:rsidRDefault="002913BF" w:rsidP="00880AF9">
      <w:pPr>
        <w:tabs>
          <w:tab w:val="left" w:pos="993"/>
        </w:tabs>
        <w:spacing w:before="120" w:after="120" w:line="21" w:lineRule="atLeast"/>
        <w:ind w:firstLine="720"/>
        <w:jc w:val="both"/>
        <w:rPr>
          <w:lang w:val="vi-VN" w:eastAsia="x-none"/>
        </w:rPr>
      </w:pPr>
      <w:r w:rsidRPr="002913BF">
        <w:rPr>
          <w:lang w:val="x-none" w:eastAsia="x-none"/>
        </w:rPr>
        <w:t xml:space="preserve">Với </w:t>
      </w:r>
      <w:r w:rsidRPr="002913BF">
        <w:rPr>
          <w:lang w:val="vi-VN" w:eastAsia="x-none"/>
        </w:rPr>
        <w:t xml:space="preserve">các </w:t>
      </w:r>
      <w:r w:rsidRPr="002913BF">
        <w:rPr>
          <w:lang w:val="x-none" w:eastAsia="x-none"/>
        </w:rPr>
        <w:t xml:space="preserve">vướng mắc nêu trên, việc triển khai cơ chế CCP đúng thời hạn từ ngày 01/01/2024 như quy định tại Nghị định số 155/2020/NĐ-CP </w:t>
      </w:r>
      <w:r w:rsidRPr="002913BF">
        <w:rPr>
          <w:lang w:val="vi-VN" w:eastAsia="x-none"/>
        </w:rPr>
        <w:t>hiện không thực hiện được. Do đó, việc gia hạn thời điểm triển khai mô hình CCP tại Nghị định 155/2020/NĐ-CP là cần thiết.</w:t>
      </w:r>
    </w:p>
    <w:p w:rsidR="00A55BAB" w:rsidRPr="004A56B3" w:rsidRDefault="00FC795D" w:rsidP="00880AF9">
      <w:pPr>
        <w:widowControl w:val="0"/>
        <w:tabs>
          <w:tab w:val="right" w:leader="dot" w:pos="7920"/>
        </w:tabs>
        <w:spacing w:before="120" w:after="120" w:line="21" w:lineRule="atLeast"/>
        <w:ind w:firstLine="720"/>
        <w:jc w:val="both"/>
        <w:rPr>
          <w:i/>
          <w:lang w:val="nl-NL"/>
        </w:rPr>
      </w:pPr>
      <w:r w:rsidRPr="004A56B3">
        <w:rPr>
          <w:i/>
          <w:lang w:val="nl-NL"/>
        </w:rPr>
        <w:t>b</w:t>
      </w:r>
      <w:r w:rsidR="00A55BAB" w:rsidRPr="004A56B3">
        <w:rPr>
          <w:i/>
          <w:lang w:val="nl-NL"/>
        </w:rPr>
        <w:t>. Mục tiêu giải quyết vấn đề</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4A56B3">
        <w:rPr>
          <w:lang w:val="nl-NL"/>
        </w:rPr>
        <w:t>Sửa đổi quy định về thời hạn triển khai hoạt động bù trừ thanh toán giao dịch chứng khoán theo mô hình đối tác bù trừ trung tâm (CCP) tại Nghị định 155/2020/NĐ-CP theo hướng gia hạn thời hạn triển khai thêm 2 năm.</w:t>
      </w:r>
    </w:p>
    <w:p w:rsidR="00A55BAB" w:rsidRPr="004A56B3" w:rsidRDefault="00A55BAB" w:rsidP="00F86EF5">
      <w:pPr>
        <w:widowControl w:val="0"/>
        <w:tabs>
          <w:tab w:val="right" w:leader="dot" w:pos="7920"/>
        </w:tabs>
        <w:spacing w:before="120" w:after="120" w:line="252" w:lineRule="auto"/>
        <w:ind w:firstLine="720"/>
        <w:jc w:val="both"/>
        <w:rPr>
          <w:b/>
          <w:i/>
          <w:lang w:val="nl-NL"/>
        </w:rPr>
      </w:pPr>
      <w:r w:rsidRPr="004A56B3">
        <w:rPr>
          <w:b/>
          <w:i/>
          <w:lang w:val="nl-NL"/>
        </w:rPr>
        <w:t>2.</w:t>
      </w:r>
      <w:r w:rsidR="006365CD" w:rsidRPr="004A56B3">
        <w:rPr>
          <w:b/>
          <w:i/>
          <w:lang w:val="nl-NL"/>
        </w:rPr>
        <w:t>2</w:t>
      </w:r>
      <w:r w:rsidRPr="004A56B3">
        <w:rPr>
          <w:b/>
          <w:i/>
          <w:lang w:val="nl-NL"/>
        </w:rPr>
        <w:t xml:space="preserve">. Các giải pháp </w:t>
      </w:r>
      <w:r w:rsidR="006365CD" w:rsidRPr="004A56B3">
        <w:rPr>
          <w:b/>
          <w:i/>
          <w:lang w:val="nl-NL"/>
        </w:rPr>
        <w:t>và đánh giá tác động của các giải pháp đối với đối tượng chịu sự tác động trực tiếp của chính sách và các đối tượng khác có liên quan</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4A56B3">
        <w:rPr>
          <w:i/>
          <w:lang w:val="nl-NL"/>
        </w:rPr>
        <w:t xml:space="preserve">- </w:t>
      </w:r>
      <w:r w:rsidRPr="007A2159">
        <w:rPr>
          <w:lang w:val="nl-NL"/>
        </w:rPr>
        <w:t>Giải pháp 1:</w:t>
      </w:r>
      <w:r w:rsidRPr="004A56B3">
        <w:rPr>
          <w:lang w:val="nl-NL"/>
        </w:rPr>
        <w:t xml:space="preserve"> Giữ nguyên như Nghị định số 155/2020/NĐ-CP.</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4A56B3">
        <w:rPr>
          <w:i/>
          <w:lang w:val="nl-NL"/>
        </w:rPr>
        <w:t xml:space="preserve">- </w:t>
      </w:r>
      <w:r w:rsidRPr="007A2159">
        <w:rPr>
          <w:lang w:val="nl-NL"/>
        </w:rPr>
        <w:t>Giải pháp 2:</w:t>
      </w:r>
      <w:r w:rsidRPr="004A56B3">
        <w:rPr>
          <w:i/>
          <w:lang w:val="nl-NL"/>
        </w:rPr>
        <w:t xml:space="preserve"> </w:t>
      </w:r>
      <w:r w:rsidRPr="004A56B3">
        <w:rPr>
          <w:lang w:val="nl-NL"/>
        </w:rPr>
        <w:t>Bộ Tài chính trình Chính phủ sửa đổi về thời hạn triển khai mô hình đối tác bù trừ trung tâm CCP tại Nghị định 155/2020/NĐ-CP thêm 2 năm.</w:t>
      </w:r>
    </w:p>
    <w:p w:rsidR="00AF2770" w:rsidRPr="004A56B3" w:rsidRDefault="00AF2770" w:rsidP="00F86EF5">
      <w:pPr>
        <w:widowControl w:val="0"/>
        <w:tabs>
          <w:tab w:val="right" w:leader="dot" w:pos="7920"/>
        </w:tabs>
        <w:spacing w:before="120" w:after="120" w:line="252" w:lineRule="auto"/>
        <w:ind w:firstLine="720"/>
        <w:jc w:val="both"/>
        <w:rPr>
          <w:lang w:val="nl-NL"/>
        </w:rPr>
      </w:pPr>
      <w:r w:rsidRPr="004A56B3">
        <w:rPr>
          <w:i/>
          <w:lang w:val="nl-NL"/>
        </w:rPr>
        <w:lastRenderedPageBreak/>
        <w:t>a.</w:t>
      </w:r>
      <w:r w:rsidR="00A55BAB" w:rsidRPr="004A56B3">
        <w:rPr>
          <w:i/>
          <w:lang w:val="nl-NL"/>
        </w:rPr>
        <w:t xml:space="preserve"> Giải pháp 1</w:t>
      </w:r>
      <w:r w:rsidR="00A55BAB" w:rsidRPr="004A56B3">
        <w:rPr>
          <w:lang w:val="nl-NL"/>
        </w:rPr>
        <w:t xml:space="preserve"> </w:t>
      </w:r>
    </w:p>
    <w:p w:rsidR="00A55BAB" w:rsidRPr="004A56B3" w:rsidRDefault="00A55BAB" w:rsidP="00F86EF5">
      <w:pPr>
        <w:widowControl w:val="0"/>
        <w:tabs>
          <w:tab w:val="right" w:leader="dot" w:pos="7920"/>
        </w:tabs>
        <w:spacing w:before="120" w:after="120" w:line="252" w:lineRule="auto"/>
        <w:ind w:firstLine="720"/>
        <w:jc w:val="both"/>
        <w:rPr>
          <w:lang w:val="nl-NL"/>
        </w:rPr>
      </w:pPr>
      <w:r w:rsidRPr="004A56B3">
        <w:rPr>
          <w:lang w:val="nl-NL"/>
        </w:rPr>
        <w:t>Việc giữ nguyên quy định về thời gian áp dụng hoạt động bù trừ, thanh toán giao dịch chứng khoán theo mô hình đối tác bù trừ trung tâm từ ngày 01/01/2024 là không thể thực hiện được.</w:t>
      </w:r>
    </w:p>
    <w:p w:rsidR="00A55BAB" w:rsidRPr="004A56B3" w:rsidRDefault="00AF2770" w:rsidP="00F86EF5">
      <w:pPr>
        <w:widowControl w:val="0"/>
        <w:tabs>
          <w:tab w:val="right" w:leader="dot" w:pos="7920"/>
        </w:tabs>
        <w:spacing w:before="120" w:after="120" w:line="252" w:lineRule="auto"/>
        <w:ind w:firstLine="720"/>
        <w:jc w:val="both"/>
        <w:rPr>
          <w:i/>
          <w:lang w:val="nl-NL"/>
        </w:rPr>
      </w:pPr>
      <w:r w:rsidRPr="004A56B3">
        <w:rPr>
          <w:i/>
          <w:lang w:val="nl-NL"/>
        </w:rPr>
        <w:t>b.</w:t>
      </w:r>
      <w:r w:rsidR="00A55BAB" w:rsidRPr="004A56B3">
        <w:rPr>
          <w:i/>
          <w:lang w:val="nl-NL"/>
        </w:rPr>
        <w:t xml:space="preserve"> Giải pháp 2</w:t>
      </w:r>
    </w:p>
    <w:p w:rsidR="00392048" w:rsidRPr="004A56B3" w:rsidRDefault="00392048" w:rsidP="00F86EF5">
      <w:pPr>
        <w:widowControl w:val="0"/>
        <w:tabs>
          <w:tab w:val="right" w:leader="dot" w:pos="7920"/>
        </w:tabs>
        <w:spacing w:before="120" w:after="120" w:line="252" w:lineRule="auto"/>
        <w:ind w:firstLine="720"/>
        <w:jc w:val="both"/>
        <w:rPr>
          <w:lang w:val="pt-BR"/>
        </w:rPr>
      </w:pPr>
      <w:r w:rsidRPr="004A56B3">
        <w:rPr>
          <w:lang w:val="pt-BR"/>
        </w:rPr>
        <w:t>+ Tác động đối với hệ thống pháp luật: Giải pháp chính sách không ảnh hưởng tới quyền và nghĩa vụ của công dân theo Hiến pháp; không trái với các văn bản quy phạm pháp luật khác có liên quan. Việc sửa đổi, bổ sung quy định này giúp hoàn thiện khung khổ pháp lý về hoạt động bù trừ thanh toán giao dịch chứng khoán để có căn cứ triển khai thực hiện.</w:t>
      </w:r>
    </w:p>
    <w:p w:rsidR="00A55BAB" w:rsidRPr="004A56B3" w:rsidRDefault="00A55BAB" w:rsidP="00F86EF5">
      <w:pPr>
        <w:tabs>
          <w:tab w:val="left" w:pos="993"/>
        </w:tabs>
        <w:spacing w:before="120" w:after="120" w:line="252" w:lineRule="auto"/>
        <w:ind w:firstLine="720"/>
        <w:jc w:val="both"/>
        <w:rPr>
          <w:rFonts w:eastAsia="Calibri"/>
          <w:lang w:val="vi-VN"/>
        </w:rPr>
      </w:pPr>
      <w:r w:rsidRPr="004A56B3">
        <w:rPr>
          <w:lang w:val="vi-VN"/>
        </w:rPr>
        <w:t xml:space="preserve">+ Tác động về kinh tế - xã hội: </w:t>
      </w:r>
      <w:r w:rsidRPr="004A56B3">
        <w:rPr>
          <w:rFonts w:eastAsia="Calibri"/>
          <w:lang w:val="vi-VN"/>
        </w:rPr>
        <w:t xml:space="preserve">Trong thời gian 5 </w:t>
      </w:r>
      <w:r w:rsidR="003734F4" w:rsidRPr="003734F4">
        <w:rPr>
          <w:rFonts w:eastAsia="Calibri"/>
          <w:lang w:val="pt-BR"/>
        </w:rPr>
        <w:t>n</w:t>
      </w:r>
      <w:r w:rsidR="003734F4">
        <w:rPr>
          <w:rFonts w:eastAsia="Calibri"/>
          <w:lang w:val="pt-BR"/>
        </w:rPr>
        <w:t xml:space="preserve">ăm </w:t>
      </w:r>
      <w:r w:rsidRPr="004A56B3">
        <w:rPr>
          <w:rFonts w:eastAsia="Calibri"/>
          <w:lang w:val="vi-VN"/>
        </w:rPr>
        <w:t xml:space="preserve">chưa triển khai hoạt động bù trừ thanh toán theo cơ chế CCP, hoạt động bù trừ và thanh toán giao dịch chứng khoán trên TTCK cơ sở vẫn được thực hiện theo cơ chế và phương thức như hiện nay. Do đó, việc lùi thời hạn triển khai mô hình CCP không tác động tới sự an toàn, thông suốt của hoạt động bù trừ thanh toán chứng khoán hiện nay. Việc lùi thời hạn triển khai mô hình CCP tới 01/01/2026 là để phù hợp với thực tế triển khai hệ thống </w:t>
      </w:r>
      <w:r w:rsidR="002973F0">
        <w:rPr>
          <w:rFonts w:eastAsia="Calibri"/>
          <w:lang w:val="vi-VN"/>
        </w:rPr>
        <w:t>công nghệ thông tin</w:t>
      </w:r>
      <w:r w:rsidRPr="004A56B3">
        <w:rPr>
          <w:rFonts w:eastAsia="Calibri"/>
          <w:lang w:val="vi-VN"/>
        </w:rPr>
        <w:t xml:space="preserve"> mới cho TTCK, đảm bảo thời gian để các thành viên thị trường thực hiện công tác chuẩn bị trong áp dụng cơ chế CCP, đảm bảo việc vận hành hệ thống bù trừ thanh toán theo cơ chế CCP được ổn định, an toàn, hiệu quả. </w:t>
      </w:r>
    </w:p>
    <w:p w:rsidR="00A55BAB" w:rsidRPr="004A56B3" w:rsidRDefault="00A55BAB" w:rsidP="00F86EF5">
      <w:pPr>
        <w:widowControl w:val="0"/>
        <w:tabs>
          <w:tab w:val="right" w:leader="dot" w:pos="7920"/>
        </w:tabs>
        <w:spacing w:before="120" w:after="120" w:line="252" w:lineRule="auto"/>
        <w:ind w:firstLine="720"/>
        <w:jc w:val="both"/>
        <w:rPr>
          <w:lang w:val="pt-BR"/>
        </w:rPr>
      </w:pPr>
      <w:r w:rsidRPr="004A56B3">
        <w:rPr>
          <w:lang w:val="pt-BR"/>
        </w:rPr>
        <w:t xml:space="preserve">+ Tác động về giới: Chính sách không ảnh hưởng đến cơ hội, điều kiện, năng lực thực hiện và thụ hưởng các quyền, lợi ích của mỗi giới do chính sách được áp dụng chung, không mang tính phân biệt giới. </w:t>
      </w:r>
    </w:p>
    <w:p w:rsidR="00A55BAB" w:rsidRPr="004A56B3" w:rsidRDefault="00A55BAB" w:rsidP="00F86EF5">
      <w:pPr>
        <w:widowControl w:val="0"/>
        <w:tabs>
          <w:tab w:val="right" w:leader="dot" w:pos="7920"/>
        </w:tabs>
        <w:spacing w:before="120" w:after="120" w:line="252" w:lineRule="auto"/>
        <w:ind w:firstLine="720"/>
        <w:jc w:val="both"/>
        <w:rPr>
          <w:lang w:val="pt-BR"/>
        </w:rPr>
      </w:pPr>
      <w:r w:rsidRPr="004A56B3">
        <w:rPr>
          <w:lang w:val="pt-BR"/>
        </w:rPr>
        <w:t>+ Tác động của thủ tục hành chính: C</w:t>
      </w:r>
      <w:r w:rsidRPr="004A56B3">
        <w:rPr>
          <w:lang w:val="vi-VN"/>
        </w:rPr>
        <w:t xml:space="preserve">hính sách </w:t>
      </w:r>
      <w:r w:rsidRPr="004A56B3">
        <w:rPr>
          <w:lang w:val="pt-BR"/>
        </w:rPr>
        <w:t xml:space="preserve">không phát sinh thủ tục hành chính. </w:t>
      </w:r>
    </w:p>
    <w:p w:rsidR="00E402CC" w:rsidRDefault="00A55BAB" w:rsidP="00F86EF5">
      <w:pPr>
        <w:widowControl w:val="0"/>
        <w:tabs>
          <w:tab w:val="right" w:leader="dot" w:pos="7920"/>
        </w:tabs>
        <w:spacing w:before="120" w:after="120" w:line="252" w:lineRule="auto"/>
        <w:ind w:firstLine="720"/>
        <w:jc w:val="both"/>
        <w:rPr>
          <w:lang w:val="nl-NL"/>
        </w:rPr>
      </w:pPr>
      <w:r w:rsidRPr="004A56B3">
        <w:rPr>
          <w:b/>
          <w:i/>
          <w:lang w:val="nl-NL"/>
        </w:rPr>
        <w:t>2.</w:t>
      </w:r>
      <w:r w:rsidR="00F127D9" w:rsidRPr="004A56B3">
        <w:rPr>
          <w:b/>
          <w:i/>
          <w:lang w:val="nl-NL"/>
        </w:rPr>
        <w:t>3</w:t>
      </w:r>
      <w:r w:rsidRPr="004A56B3">
        <w:rPr>
          <w:b/>
          <w:i/>
          <w:lang w:val="nl-NL"/>
        </w:rPr>
        <w:t xml:space="preserve">. </w:t>
      </w:r>
      <w:r w:rsidR="00F127D9" w:rsidRPr="004A56B3">
        <w:rPr>
          <w:b/>
          <w:i/>
          <w:lang w:val="nl-NL"/>
        </w:rPr>
        <w:t>Lựa chọn giải pháp</w:t>
      </w:r>
      <w:r w:rsidRPr="004A56B3">
        <w:rPr>
          <w:lang w:val="nl-NL"/>
        </w:rPr>
        <w:t xml:space="preserve"> </w:t>
      </w:r>
    </w:p>
    <w:p w:rsidR="00A55BAB" w:rsidRPr="004A56B3" w:rsidRDefault="00E402CC" w:rsidP="00F86EF5">
      <w:pPr>
        <w:widowControl w:val="0"/>
        <w:tabs>
          <w:tab w:val="right" w:leader="dot" w:pos="7920"/>
        </w:tabs>
        <w:spacing w:before="120" w:after="120" w:line="252" w:lineRule="auto"/>
        <w:ind w:firstLine="720"/>
        <w:jc w:val="both"/>
        <w:rPr>
          <w:lang w:val="nl-NL"/>
        </w:rPr>
      </w:pPr>
      <w:r>
        <w:rPr>
          <w:lang w:val="nl-NL"/>
        </w:rPr>
        <w:t>Bộ Tài chính t</w:t>
      </w:r>
      <w:r w:rsidR="00A55BAB" w:rsidRPr="004A56B3">
        <w:rPr>
          <w:lang w:val="nl-NL"/>
        </w:rPr>
        <w:t xml:space="preserve">rình Chính phủ lựa chọn Giải pháp 2. </w:t>
      </w:r>
    </w:p>
    <w:p w:rsidR="00466944" w:rsidRPr="004A56B3" w:rsidRDefault="00A55BAB" w:rsidP="00F86EF5">
      <w:pPr>
        <w:widowControl w:val="0"/>
        <w:tabs>
          <w:tab w:val="right" w:leader="dot" w:pos="7920"/>
        </w:tabs>
        <w:spacing w:before="120" w:after="120" w:line="252" w:lineRule="auto"/>
        <w:ind w:firstLine="720"/>
        <w:jc w:val="both"/>
        <w:rPr>
          <w:b/>
          <w:lang w:val="nl-NL"/>
        </w:rPr>
      </w:pPr>
      <w:r w:rsidRPr="004A56B3">
        <w:rPr>
          <w:b/>
          <w:lang w:val="nl-NL"/>
        </w:rPr>
        <w:t xml:space="preserve">III. </w:t>
      </w:r>
      <w:r w:rsidR="00466944" w:rsidRPr="004A56B3">
        <w:rPr>
          <w:b/>
          <w:lang w:val="nl-NL"/>
        </w:rPr>
        <w:t>PHỤ LỤC</w:t>
      </w:r>
    </w:p>
    <w:p w:rsidR="00466944" w:rsidRPr="004A56B3" w:rsidRDefault="00466944" w:rsidP="00F86EF5">
      <w:pPr>
        <w:widowControl w:val="0"/>
        <w:tabs>
          <w:tab w:val="right" w:leader="dot" w:pos="7920"/>
        </w:tabs>
        <w:spacing w:before="120" w:after="120" w:line="252" w:lineRule="auto"/>
        <w:ind w:firstLine="720"/>
        <w:jc w:val="both"/>
        <w:rPr>
          <w:lang w:val="nl-NL"/>
        </w:rPr>
      </w:pPr>
      <w:r w:rsidRPr="004A56B3">
        <w:rPr>
          <w:lang w:val="nl-NL"/>
        </w:rPr>
        <w:t xml:space="preserve">- </w:t>
      </w:r>
      <w:r w:rsidR="0023680C">
        <w:rPr>
          <w:lang w:val="nl-NL"/>
        </w:rPr>
        <w:t>Báo cáo đánh giá tác động chính sách</w:t>
      </w:r>
      <w:r w:rsidR="00D14265">
        <w:rPr>
          <w:lang w:val="nl-NL"/>
        </w:rPr>
        <w:t xml:space="preserve"> của Dự thảo Nghị định</w:t>
      </w:r>
      <w:r w:rsidRPr="004A56B3">
        <w:rPr>
          <w:lang w:val="nl-NL"/>
        </w:rPr>
        <w:t xml:space="preserve"> không </w:t>
      </w:r>
      <w:r w:rsidR="0023680C">
        <w:rPr>
          <w:lang w:val="nl-NL"/>
        </w:rPr>
        <w:t>bao gồm</w:t>
      </w:r>
      <w:r w:rsidRPr="004A56B3">
        <w:rPr>
          <w:lang w:val="nl-NL"/>
        </w:rPr>
        <w:t xml:space="preserve"> bảng, biểu tính toán chi phí và lợi ích của các giải pháp</w:t>
      </w:r>
      <w:r w:rsidR="00B82EA1" w:rsidRPr="004A56B3">
        <w:rPr>
          <w:lang w:val="nl-NL"/>
        </w:rPr>
        <w:t xml:space="preserve">. Đối với </w:t>
      </w:r>
      <w:r w:rsidR="00547EDF">
        <w:rPr>
          <w:lang w:val="nl-NL"/>
        </w:rPr>
        <w:t>những tác động của chính sách</w:t>
      </w:r>
      <w:r w:rsidR="00B82EA1" w:rsidRPr="004A56B3">
        <w:rPr>
          <w:lang w:val="nl-NL"/>
        </w:rPr>
        <w:t xml:space="preserve"> nêu tại Báo cáo này, Bộ Tài chính không áp dụng phương pháp định lượng </w:t>
      </w:r>
      <w:r w:rsidR="00D95B0D">
        <w:rPr>
          <w:lang w:val="nl-NL"/>
        </w:rPr>
        <w:t xml:space="preserve">khi thực hiện đánh giá tác động chính sách </w:t>
      </w:r>
      <w:r w:rsidR="00511999">
        <w:rPr>
          <w:lang w:val="nl-NL"/>
        </w:rPr>
        <w:t>vì</w:t>
      </w:r>
      <w:r w:rsidR="00B82EA1" w:rsidRPr="004A56B3">
        <w:rPr>
          <w:lang w:val="nl-NL"/>
        </w:rPr>
        <w:t xml:space="preserve"> </w:t>
      </w:r>
      <w:r w:rsidR="00D95B0D">
        <w:rPr>
          <w:lang w:val="nl-NL"/>
        </w:rPr>
        <w:t xml:space="preserve">một số lý do sau đây: </w:t>
      </w:r>
      <w:r w:rsidR="003B6A61">
        <w:rPr>
          <w:lang w:val="nl-NL"/>
        </w:rPr>
        <w:t xml:space="preserve">(i) Đối với chính sách </w:t>
      </w:r>
      <w:r w:rsidR="003B6A61" w:rsidRPr="00DE7FE6">
        <w:rPr>
          <w:lang w:val="nl-NL"/>
        </w:rPr>
        <w:t>về</w:t>
      </w:r>
      <w:r w:rsidR="00DE7FE6" w:rsidRPr="00DE7FE6">
        <w:rPr>
          <w:lang w:val="nl-NL"/>
        </w:rPr>
        <w:t xml:space="preserve"> t</w:t>
      </w:r>
      <w:r w:rsidR="003B6A61" w:rsidRPr="00DE7FE6">
        <w:rPr>
          <w:lang w:val="nl-NL"/>
        </w:rPr>
        <w:t>rường hợp đặc biệt cần duy trì niêm yết cổ phiếu</w:t>
      </w:r>
      <w:r w:rsidR="003B6A61">
        <w:rPr>
          <w:lang w:val="nl-NL"/>
        </w:rPr>
        <w:t xml:space="preserve"> </w:t>
      </w:r>
      <w:r w:rsidR="00B82EA1" w:rsidRPr="004A56B3">
        <w:rPr>
          <w:lang w:val="nl-NL"/>
        </w:rPr>
        <w:t xml:space="preserve">tại khoản 1 Điều 1 </w:t>
      </w:r>
      <w:r w:rsidR="003B6A61">
        <w:rPr>
          <w:lang w:val="nl-NL"/>
        </w:rPr>
        <w:t>D</w:t>
      </w:r>
      <w:r w:rsidR="00B82EA1" w:rsidRPr="004A56B3">
        <w:rPr>
          <w:lang w:val="nl-NL"/>
        </w:rPr>
        <w:t>ự thảo Nghị định</w:t>
      </w:r>
      <w:r w:rsidR="003B6A61">
        <w:rPr>
          <w:lang w:val="nl-NL"/>
        </w:rPr>
        <w:t xml:space="preserve">, tại </w:t>
      </w:r>
      <w:r w:rsidR="003B6A61" w:rsidRPr="004A56B3">
        <w:rPr>
          <w:rFonts w:eastAsia="Calibri"/>
          <w:szCs w:val="22"/>
          <w:lang w:val="pt-BR"/>
        </w:rPr>
        <w:t>Công văn số 624/UBQLV-CNHT ngày 03/04/2024</w:t>
      </w:r>
      <w:r w:rsidR="003B6A61">
        <w:rPr>
          <w:rFonts w:eastAsia="Calibri"/>
          <w:szCs w:val="22"/>
          <w:lang w:val="pt-BR"/>
        </w:rPr>
        <w:t xml:space="preserve"> về việc cho ý kiến về những chi phí, lợi ích, đánh giá tác động của quy định về duy trì niêm yết cổ phiếu, UBQLVNN chưa đưa ra đánh giá định lượng </w:t>
      </w:r>
      <w:r w:rsidR="00D03AF1">
        <w:rPr>
          <w:rFonts w:eastAsia="Calibri"/>
          <w:szCs w:val="22"/>
          <w:lang w:val="pt-BR"/>
        </w:rPr>
        <w:t>về</w:t>
      </w:r>
      <w:r w:rsidR="003B6A61">
        <w:rPr>
          <w:rFonts w:eastAsia="Calibri"/>
          <w:szCs w:val="22"/>
          <w:lang w:val="pt-BR"/>
        </w:rPr>
        <w:t xml:space="preserve"> </w:t>
      </w:r>
      <w:r w:rsidR="0083118A">
        <w:rPr>
          <w:rFonts w:eastAsia="Calibri"/>
          <w:szCs w:val="22"/>
          <w:lang w:val="pt-BR"/>
        </w:rPr>
        <w:t>những tác động của chính sách này</w:t>
      </w:r>
      <w:r w:rsidR="000F5B82">
        <w:rPr>
          <w:rFonts w:eastAsia="Calibri"/>
          <w:szCs w:val="22"/>
          <w:lang w:val="pt-BR"/>
        </w:rPr>
        <w:t xml:space="preserve">. Ngoài ra, các trường hợp đặc biệt </w:t>
      </w:r>
      <w:r w:rsidR="000F5B82">
        <w:rPr>
          <w:rFonts w:eastAsia="Calibri"/>
          <w:szCs w:val="22"/>
          <w:lang w:val="pt-BR"/>
        </w:rPr>
        <w:lastRenderedPageBreak/>
        <w:t xml:space="preserve">cần duy trì niêm yết cũng mang tính chất cá biệt, không có tiêu chí chung, do vậy cũng không có căn cứ để lượng hóa </w:t>
      </w:r>
      <w:r w:rsidR="00C47166">
        <w:rPr>
          <w:rFonts w:eastAsia="Calibri"/>
          <w:szCs w:val="22"/>
          <w:lang w:val="pt-BR"/>
        </w:rPr>
        <w:t>tác động chính sách</w:t>
      </w:r>
      <w:r w:rsidR="000F5B82">
        <w:rPr>
          <w:rFonts w:eastAsia="Calibri"/>
          <w:szCs w:val="22"/>
          <w:lang w:val="pt-BR"/>
        </w:rPr>
        <w:t xml:space="preserve"> của mọi trường hợp</w:t>
      </w:r>
      <w:r w:rsidR="003B6A61">
        <w:rPr>
          <w:rFonts w:eastAsia="Calibri"/>
          <w:szCs w:val="22"/>
          <w:lang w:val="pt-BR"/>
        </w:rPr>
        <w:t>; (ii) Đối với chính sách về gia hạn thời điểm triển khai mô hình CCP</w:t>
      </w:r>
      <w:r w:rsidR="00B533C3">
        <w:rPr>
          <w:rFonts w:eastAsia="Calibri"/>
          <w:szCs w:val="22"/>
          <w:lang w:val="pt-BR"/>
        </w:rPr>
        <w:t xml:space="preserve"> thêm 02 năm</w:t>
      </w:r>
      <w:r w:rsidR="003B6A61">
        <w:rPr>
          <w:rFonts w:eastAsia="Calibri"/>
          <w:szCs w:val="22"/>
          <w:lang w:val="pt-BR"/>
        </w:rPr>
        <w:t xml:space="preserve"> tại khoản 2 Điều 1 Dự thảo Nghị định, </w:t>
      </w:r>
      <w:r w:rsidR="00DE7FE6">
        <w:rPr>
          <w:lang w:val="nl-NL"/>
        </w:rPr>
        <w:t>chính sách này là để kéo dài</w:t>
      </w:r>
      <w:r w:rsidR="00497D5C">
        <w:rPr>
          <w:lang w:val="nl-NL"/>
        </w:rPr>
        <w:t xml:space="preserve"> thêm</w:t>
      </w:r>
      <w:r w:rsidR="00DE7FE6">
        <w:rPr>
          <w:lang w:val="nl-NL"/>
        </w:rPr>
        <w:t xml:space="preserve"> thời gian chưa áp dụng hoạt động</w:t>
      </w:r>
      <w:r w:rsidR="00B533C3">
        <w:rPr>
          <w:lang w:val="nl-NL"/>
        </w:rPr>
        <w:t xml:space="preserve"> bù trừ, thanh toán theo</w:t>
      </w:r>
      <w:r w:rsidR="00950D48" w:rsidRPr="004A56B3">
        <w:rPr>
          <w:lang w:val="nl-NL"/>
        </w:rPr>
        <w:t xml:space="preserve"> mô hình</w:t>
      </w:r>
      <w:r w:rsidR="00B533C3">
        <w:rPr>
          <w:lang w:val="nl-NL"/>
        </w:rPr>
        <w:t xml:space="preserve"> đối tác bù trừ trung tâm</w:t>
      </w:r>
      <w:r w:rsidR="00950D48" w:rsidRPr="004A56B3">
        <w:rPr>
          <w:lang w:val="nl-NL"/>
        </w:rPr>
        <w:t xml:space="preserve"> CCP</w:t>
      </w:r>
      <w:r w:rsidR="00B533C3">
        <w:rPr>
          <w:lang w:val="nl-NL"/>
        </w:rPr>
        <w:t>, trên thực tế, mô hình CCP vẫn chưa</w:t>
      </w:r>
      <w:r w:rsidR="00950D48" w:rsidRPr="004A56B3">
        <w:rPr>
          <w:lang w:val="nl-NL"/>
        </w:rPr>
        <w:t xml:space="preserve"> được triển khai</w:t>
      </w:r>
      <w:r w:rsidR="00B533C3">
        <w:rPr>
          <w:lang w:val="nl-NL"/>
        </w:rPr>
        <w:t xml:space="preserve">, vì vậy, chưa thể đánh giá định lượng về </w:t>
      </w:r>
      <w:r w:rsidR="001411A9">
        <w:rPr>
          <w:lang w:val="nl-NL"/>
        </w:rPr>
        <w:t>tác động chính sách</w:t>
      </w:r>
      <w:r w:rsidR="00B533C3">
        <w:rPr>
          <w:lang w:val="nl-NL"/>
        </w:rPr>
        <w:t xml:space="preserve"> </w:t>
      </w:r>
      <w:r w:rsidR="00797456">
        <w:rPr>
          <w:lang w:val="nl-NL"/>
        </w:rPr>
        <w:t>khi áp dụng</w:t>
      </w:r>
      <w:r w:rsidR="00B533C3">
        <w:rPr>
          <w:lang w:val="nl-NL"/>
        </w:rPr>
        <w:t xml:space="preserve"> mô hình này</w:t>
      </w:r>
      <w:r w:rsidR="00B82EA1" w:rsidRPr="004A56B3">
        <w:rPr>
          <w:lang w:val="nl-NL"/>
        </w:rPr>
        <w:t xml:space="preserve">. </w:t>
      </w:r>
    </w:p>
    <w:p w:rsidR="00A55BAB" w:rsidRPr="004A56B3" w:rsidRDefault="00466944" w:rsidP="00F86EF5">
      <w:pPr>
        <w:widowControl w:val="0"/>
        <w:tabs>
          <w:tab w:val="right" w:leader="dot" w:pos="7920"/>
        </w:tabs>
        <w:spacing w:before="120" w:after="120" w:line="252" w:lineRule="auto"/>
        <w:ind w:firstLine="720"/>
        <w:jc w:val="both"/>
        <w:rPr>
          <w:lang w:val="nl-NL"/>
        </w:rPr>
      </w:pPr>
      <w:r w:rsidRPr="004A56B3">
        <w:rPr>
          <w:lang w:val="nl-NL"/>
        </w:rPr>
        <w:t xml:space="preserve">- </w:t>
      </w:r>
      <w:r w:rsidR="0023680C">
        <w:rPr>
          <w:lang w:val="nl-NL"/>
        </w:rPr>
        <w:t>Báo cáo đánh giá tác động chính sách</w:t>
      </w:r>
      <w:r w:rsidRPr="004A56B3">
        <w:rPr>
          <w:lang w:val="nl-NL"/>
        </w:rPr>
        <w:t xml:space="preserve"> </w:t>
      </w:r>
      <w:r w:rsidR="00D14265">
        <w:rPr>
          <w:lang w:val="nl-NL"/>
        </w:rPr>
        <w:t xml:space="preserve">của Dự thảo Nghị định </w:t>
      </w:r>
      <w:r w:rsidRPr="004A56B3">
        <w:rPr>
          <w:lang w:val="nl-NL"/>
        </w:rPr>
        <w:t xml:space="preserve">không </w:t>
      </w:r>
      <w:r w:rsidR="0023680C">
        <w:rPr>
          <w:lang w:val="nl-NL"/>
        </w:rPr>
        <w:t xml:space="preserve">bao gồm </w:t>
      </w:r>
      <w:r w:rsidRPr="004A56B3">
        <w:rPr>
          <w:lang w:val="nl-NL"/>
        </w:rPr>
        <w:t>Danh mục các điều ước quốc tế có liên quan mà Cộng hòa xã hội chủ nghĩa Việt Nam là thành viên được rà soát và đánh giá tính tương thích.</w:t>
      </w:r>
      <w:r w:rsidR="00A55BAB" w:rsidRPr="004A56B3">
        <w:rPr>
          <w:lang w:val="nl-NL"/>
        </w:rPr>
        <w:t xml:space="preserve"> </w:t>
      </w:r>
    </w:p>
    <w:p w:rsidR="00A55BAB" w:rsidRDefault="00A55BAB" w:rsidP="00F86EF5">
      <w:pPr>
        <w:widowControl w:val="0"/>
        <w:spacing w:before="120" w:after="120" w:line="252" w:lineRule="auto"/>
        <w:ind w:firstLine="720"/>
        <w:jc w:val="both"/>
        <w:rPr>
          <w:lang w:val="nl-NL"/>
        </w:rPr>
      </w:pPr>
      <w:r w:rsidRPr="004A56B3">
        <w:rPr>
          <w:lang w:val="nl-NL"/>
        </w:rPr>
        <w:t xml:space="preserve">Trên đây là báo cáo đánh giá tác động chính sách đối với </w:t>
      </w:r>
      <w:r w:rsidR="00541474">
        <w:rPr>
          <w:lang w:val="nl-NL"/>
        </w:rPr>
        <w:t>D</w:t>
      </w:r>
      <w:r w:rsidRPr="004A56B3">
        <w:rPr>
          <w:lang w:val="nl-NL"/>
        </w:rPr>
        <w:t>ự thảo Nghị định sửa đổi, bổ sung một số điều của Nghị định số 155</w:t>
      </w:r>
      <w:r w:rsidRPr="004A56B3">
        <w:rPr>
          <w:lang w:val="vi-VN"/>
        </w:rPr>
        <w:t>/2020</w:t>
      </w:r>
      <w:r w:rsidRPr="004A56B3">
        <w:rPr>
          <w:lang w:val="nl-NL"/>
        </w:rPr>
        <w:t>/NĐ-CP</w:t>
      </w:r>
      <w:r w:rsidR="001F001D" w:rsidRPr="004A56B3">
        <w:rPr>
          <w:lang w:val="nl-NL"/>
        </w:rPr>
        <w:t xml:space="preserve"> </w:t>
      </w:r>
      <w:r w:rsidR="00403188">
        <w:rPr>
          <w:lang w:val="nl-NL"/>
        </w:rPr>
        <w:t xml:space="preserve">quy định chi tiết thi hành một số điều của Luật Chứng khoán </w:t>
      </w:r>
      <w:r w:rsidR="001F001D" w:rsidRPr="004A56B3">
        <w:rPr>
          <w:lang w:val="nl-NL"/>
        </w:rPr>
        <w:t>theo trình tự, thủ tục rút gọn</w:t>
      </w:r>
      <w:r w:rsidRPr="004A56B3">
        <w:rPr>
          <w:lang w:val="nl-NL"/>
        </w:rPr>
        <w:t>./.</w:t>
      </w:r>
    </w:p>
    <w:p w:rsidR="00DD565B" w:rsidRPr="00DD565B" w:rsidRDefault="00DD565B" w:rsidP="00A20228">
      <w:pPr>
        <w:widowControl w:val="0"/>
        <w:spacing w:before="120" w:after="120" w:line="252" w:lineRule="auto"/>
        <w:ind w:firstLine="720"/>
        <w:jc w:val="both"/>
        <w:rPr>
          <w:sz w:val="4"/>
          <w:lang w:val="nl-NL"/>
        </w:rPr>
      </w:pPr>
    </w:p>
    <w:tbl>
      <w:tblPr>
        <w:tblW w:w="0" w:type="auto"/>
        <w:tblLook w:val="04A0" w:firstRow="1" w:lastRow="0" w:firstColumn="1" w:lastColumn="0" w:noHBand="0" w:noVBand="1"/>
      </w:tblPr>
      <w:tblGrid>
        <w:gridCol w:w="5790"/>
        <w:gridCol w:w="3281"/>
      </w:tblGrid>
      <w:tr w:rsidR="001D1805" w:rsidRPr="00F10B40" w:rsidTr="00E92559">
        <w:trPr>
          <w:trHeight w:val="2808"/>
        </w:trPr>
        <w:tc>
          <w:tcPr>
            <w:tcW w:w="5946" w:type="dxa"/>
          </w:tcPr>
          <w:p w:rsidR="00A55BAB" w:rsidRPr="004A56B3" w:rsidRDefault="00A55BAB" w:rsidP="00587C73">
            <w:pPr>
              <w:widowControl w:val="0"/>
              <w:rPr>
                <w:b/>
                <w:i/>
                <w:sz w:val="24"/>
                <w:lang w:val="af-ZA"/>
              </w:rPr>
            </w:pPr>
            <w:r w:rsidRPr="004A56B3">
              <w:rPr>
                <w:b/>
                <w:i/>
                <w:sz w:val="24"/>
                <w:lang w:val="af-ZA"/>
              </w:rPr>
              <w:t>Nơi nhận:</w:t>
            </w:r>
          </w:p>
          <w:p w:rsidR="00F51E4F" w:rsidRPr="00413045" w:rsidRDefault="00F51E4F" w:rsidP="003B7EFB">
            <w:pPr>
              <w:widowControl w:val="0"/>
              <w:jc w:val="both"/>
              <w:outlineLvl w:val="0"/>
              <w:rPr>
                <w:sz w:val="22"/>
                <w:szCs w:val="22"/>
                <w:lang w:val="af-ZA"/>
              </w:rPr>
            </w:pPr>
            <w:r w:rsidRPr="00413045">
              <w:rPr>
                <w:sz w:val="22"/>
                <w:szCs w:val="22"/>
                <w:lang w:val="af-ZA"/>
              </w:rPr>
              <w:t>- Bộ Tư pháp</w:t>
            </w:r>
            <w:r w:rsidR="00587C73" w:rsidRPr="00413045">
              <w:rPr>
                <w:sz w:val="22"/>
                <w:szCs w:val="22"/>
                <w:lang w:val="af-ZA"/>
              </w:rPr>
              <w:t xml:space="preserve"> (để thẩm định)</w:t>
            </w:r>
            <w:r w:rsidRPr="00413045">
              <w:rPr>
                <w:sz w:val="22"/>
                <w:szCs w:val="22"/>
                <w:lang w:val="af-ZA"/>
              </w:rPr>
              <w:t>;</w:t>
            </w:r>
          </w:p>
          <w:p w:rsidR="00A55BAB" w:rsidRPr="004A56B3" w:rsidRDefault="00A55BAB" w:rsidP="003B7EFB">
            <w:pPr>
              <w:widowControl w:val="0"/>
              <w:jc w:val="both"/>
              <w:outlineLvl w:val="0"/>
              <w:rPr>
                <w:rFonts w:ascii="Arial" w:eastAsia="SimSun" w:hAnsi="Arial"/>
                <w:i/>
                <w:lang w:val="pt-BR"/>
              </w:rPr>
            </w:pPr>
            <w:r w:rsidRPr="00413045">
              <w:rPr>
                <w:sz w:val="22"/>
                <w:szCs w:val="22"/>
                <w:lang w:val="af-ZA"/>
              </w:rPr>
              <w:t>- Lưu: VT, UBCK (</w:t>
            </w:r>
            <w:r w:rsidR="005A6CF0" w:rsidRPr="00413045">
              <w:rPr>
                <w:sz w:val="22"/>
                <w:szCs w:val="22"/>
                <w:lang w:val="af-ZA"/>
              </w:rPr>
              <w:t>0</w:t>
            </w:r>
            <w:r w:rsidR="00587C73" w:rsidRPr="00413045">
              <w:rPr>
                <w:sz w:val="22"/>
                <w:szCs w:val="22"/>
                <w:lang w:val="af-ZA"/>
              </w:rPr>
              <w:t>3</w:t>
            </w:r>
            <w:r w:rsidRPr="00413045">
              <w:rPr>
                <w:sz w:val="22"/>
                <w:szCs w:val="22"/>
                <w:lang w:val="af-ZA"/>
              </w:rPr>
              <w:t>b).</w:t>
            </w:r>
          </w:p>
        </w:tc>
        <w:tc>
          <w:tcPr>
            <w:tcW w:w="3341" w:type="dxa"/>
          </w:tcPr>
          <w:p w:rsidR="00A55BAB" w:rsidRPr="00413045" w:rsidRDefault="00A55BAB" w:rsidP="003B7EFB">
            <w:pPr>
              <w:jc w:val="center"/>
              <w:rPr>
                <w:b/>
                <w:sz w:val="26"/>
                <w:szCs w:val="26"/>
                <w:lang w:val="pt-BR"/>
              </w:rPr>
            </w:pPr>
            <w:r w:rsidRPr="00413045">
              <w:rPr>
                <w:b/>
                <w:sz w:val="26"/>
                <w:szCs w:val="26"/>
                <w:lang w:val="pt-BR"/>
              </w:rPr>
              <w:t xml:space="preserve">KT. </w:t>
            </w:r>
            <w:r w:rsidRPr="00413045">
              <w:rPr>
                <w:b/>
                <w:sz w:val="26"/>
                <w:szCs w:val="26"/>
                <w:lang w:val="nl-NL"/>
              </w:rPr>
              <w:t>BỘ TRƯỞNG</w:t>
            </w:r>
          </w:p>
          <w:p w:rsidR="00A55BAB" w:rsidRPr="00413045" w:rsidRDefault="00A55BAB" w:rsidP="003B7EFB">
            <w:pPr>
              <w:jc w:val="center"/>
              <w:rPr>
                <w:rFonts w:ascii="Arial" w:eastAsia="SimSun" w:hAnsi="Arial"/>
                <w:b/>
                <w:sz w:val="26"/>
                <w:szCs w:val="26"/>
                <w:lang w:val="pt-BR"/>
              </w:rPr>
            </w:pPr>
            <w:r w:rsidRPr="00413045">
              <w:rPr>
                <w:b/>
                <w:sz w:val="26"/>
                <w:szCs w:val="26"/>
                <w:lang w:val="pt-BR"/>
              </w:rPr>
              <w:t>THỨ TRƯỞNG</w:t>
            </w:r>
          </w:p>
          <w:p w:rsidR="00A55BAB" w:rsidRPr="004A56B3" w:rsidRDefault="00A55BAB" w:rsidP="003B7EFB">
            <w:pPr>
              <w:widowControl w:val="0"/>
              <w:jc w:val="center"/>
              <w:outlineLvl w:val="0"/>
              <w:rPr>
                <w:rFonts w:ascii="Arial" w:eastAsia="SimSun" w:hAnsi="Arial"/>
                <w:b/>
                <w:lang w:val="nl-NL"/>
              </w:rPr>
            </w:pPr>
          </w:p>
          <w:p w:rsidR="00A55BAB" w:rsidRPr="004A56B3" w:rsidRDefault="00A55BAB" w:rsidP="003B7EFB">
            <w:pPr>
              <w:widowControl w:val="0"/>
              <w:jc w:val="center"/>
              <w:outlineLvl w:val="0"/>
              <w:rPr>
                <w:rFonts w:ascii="Arial" w:eastAsia="SimSun" w:hAnsi="Arial"/>
                <w:b/>
                <w:lang w:val="pt-BR"/>
              </w:rPr>
            </w:pPr>
          </w:p>
          <w:p w:rsidR="00A55BAB" w:rsidRPr="004A56B3" w:rsidRDefault="00A55BAB" w:rsidP="003B7EFB">
            <w:pPr>
              <w:widowControl w:val="0"/>
              <w:jc w:val="center"/>
              <w:outlineLvl w:val="0"/>
              <w:rPr>
                <w:rFonts w:ascii="Arial" w:eastAsia="SimSun" w:hAnsi="Arial"/>
                <w:b/>
                <w:lang w:val="nl-NL"/>
              </w:rPr>
            </w:pPr>
          </w:p>
          <w:p w:rsidR="00A55BAB" w:rsidRPr="004A56B3" w:rsidRDefault="00A55BAB" w:rsidP="00353591">
            <w:pPr>
              <w:widowControl w:val="0"/>
              <w:outlineLvl w:val="0"/>
              <w:rPr>
                <w:rFonts w:ascii="Arial" w:eastAsia="SimSun" w:hAnsi="Arial"/>
                <w:b/>
                <w:lang w:val="nl-NL"/>
              </w:rPr>
            </w:pPr>
          </w:p>
          <w:p w:rsidR="00DF4C58" w:rsidRPr="004A56B3" w:rsidRDefault="00DF4C58" w:rsidP="003B7EFB">
            <w:pPr>
              <w:widowControl w:val="0"/>
              <w:jc w:val="center"/>
              <w:outlineLvl w:val="0"/>
              <w:rPr>
                <w:rFonts w:ascii="Arial" w:eastAsia="SimSun" w:hAnsi="Arial"/>
                <w:b/>
                <w:lang w:val="nl-NL"/>
              </w:rPr>
            </w:pPr>
          </w:p>
          <w:p w:rsidR="00A55BAB" w:rsidRPr="001D1805" w:rsidRDefault="00A55BAB" w:rsidP="003B7EFB">
            <w:pPr>
              <w:widowControl w:val="0"/>
              <w:jc w:val="center"/>
              <w:outlineLvl w:val="0"/>
              <w:rPr>
                <w:rFonts w:ascii="Arial" w:eastAsia="SimSun" w:hAnsi="Arial"/>
                <w:i/>
                <w:lang w:val="pt-BR"/>
              </w:rPr>
            </w:pPr>
            <w:r w:rsidRPr="004A56B3">
              <w:rPr>
                <w:b/>
                <w:lang w:val="pt-BR"/>
              </w:rPr>
              <w:t>Nguyễn Đức Chi</w:t>
            </w:r>
          </w:p>
        </w:tc>
      </w:tr>
    </w:tbl>
    <w:p w:rsidR="000015F7" w:rsidRPr="001D1805" w:rsidRDefault="000015F7">
      <w:pPr>
        <w:rPr>
          <w:lang w:val="pt-BR"/>
        </w:rPr>
      </w:pPr>
    </w:p>
    <w:sectPr w:rsidR="000015F7" w:rsidRPr="001D1805" w:rsidSect="0081009F">
      <w:headerReference w:type="default" r:id="rId8"/>
      <w:footerReference w:type="default" r:id="rId9"/>
      <w:pgSz w:w="11906" w:h="16838" w:code="9"/>
      <w:pgMar w:top="1418" w:right="1134" w:bottom="1418"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AC2" w:rsidRDefault="00D12AC2" w:rsidP="00B535CA">
      <w:r>
        <w:separator/>
      </w:r>
    </w:p>
  </w:endnote>
  <w:endnote w:type="continuationSeparator" w:id="0">
    <w:p w:rsidR="00D12AC2" w:rsidRDefault="00D12AC2" w:rsidP="00B5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5CA" w:rsidRPr="00B535CA" w:rsidRDefault="00B535CA">
    <w:pPr>
      <w:pStyle w:val="Footer"/>
      <w:jc w:val="right"/>
      <w:rPr>
        <w:sz w:val="26"/>
        <w:szCs w:val="26"/>
      </w:rPr>
    </w:pPr>
  </w:p>
  <w:p w:rsidR="00B535CA" w:rsidRPr="00B535CA" w:rsidRDefault="00B535CA">
    <w:pPr>
      <w:pStyle w:val="Foo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AC2" w:rsidRDefault="00D12AC2" w:rsidP="00B535CA">
      <w:r>
        <w:separator/>
      </w:r>
    </w:p>
  </w:footnote>
  <w:footnote w:type="continuationSeparator" w:id="0">
    <w:p w:rsidR="00D12AC2" w:rsidRDefault="00D12AC2" w:rsidP="00B535CA">
      <w:r>
        <w:continuationSeparator/>
      </w:r>
    </w:p>
  </w:footnote>
  <w:footnote w:id="1">
    <w:p w:rsidR="00D13537" w:rsidRDefault="00D13537" w:rsidP="00D13537">
      <w:pPr>
        <w:pStyle w:val="FootnoteText"/>
      </w:pPr>
      <w:r>
        <w:rPr>
          <w:rStyle w:val="FootnoteReference"/>
        </w:rPr>
        <w:footnoteRef/>
      </w:r>
      <w:r>
        <w:t xml:space="preserve"> Trích </w:t>
      </w:r>
      <w:r w:rsidR="00451FF3">
        <w:t xml:space="preserve">mục 2 </w:t>
      </w:r>
      <w:r>
        <w:t xml:space="preserve">Phụ lục </w:t>
      </w:r>
      <w:r w:rsidR="001E19DF">
        <w:t>Công văn</w:t>
      </w:r>
      <w:r>
        <w:t xml:space="preserve"> số 624/</w:t>
      </w:r>
      <w:r w:rsidR="00ED3E84">
        <w:t>UBQLV</w:t>
      </w:r>
      <w:r>
        <w:t>-CNHT ngày 03/04/2024 của Ủy ban Quản lý vốn Nhà nước tại Doanh nghiệp về việc cho ý kiến về những lợi ích, chi phí, đánh giá tác động của việc duy trì niêm yết cổ phiếu.</w:t>
      </w:r>
    </w:p>
    <w:p w:rsidR="00D13537" w:rsidRDefault="00D13537">
      <w:pPr>
        <w:pStyle w:val="FootnoteText"/>
      </w:pPr>
    </w:p>
  </w:footnote>
  <w:footnote w:id="2">
    <w:p w:rsidR="00DF4C58" w:rsidRDefault="00DF4C58">
      <w:pPr>
        <w:pStyle w:val="FootnoteText"/>
      </w:pPr>
      <w:r>
        <w:rPr>
          <w:rStyle w:val="FootnoteReference"/>
        </w:rPr>
        <w:footnoteRef/>
      </w:r>
      <w:r>
        <w:t xml:space="preserve"> Trích </w:t>
      </w:r>
      <w:r w:rsidR="00444ED6">
        <w:t xml:space="preserve">mục 1 </w:t>
      </w:r>
      <w:r>
        <w:t xml:space="preserve">Phụ lục </w:t>
      </w:r>
      <w:r w:rsidR="001E19DF">
        <w:t>Công văn</w:t>
      </w:r>
      <w:r>
        <w:t xml:space="preserve"> số 624/</w:t>
      </w:r>
      <w:r w:rsidR="00ED3E84">
        <w:t>UBQLV</w:t>
      </w:r>
      <w:r>
        <w:t>-CNHT ngày 03/04/2024 của Ủy ban Quản lý vốn Nhà nước tại Doanh nghiệp về việc cho ý kiến về những lợi ích, chi phí, đánh giá tác động của việc duy trì niêm yết cổ phiếu.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6163140"/>
      <w:docPartObj>
        <w:docPartGallery w:val="Page Numbers (Top of Page)"/>
        <w:docPartUnique/>
      </w:docPartObj>
    </w:sdtPr>
    <w:sdtEndPr>
      <w:rPr>
        <w:noProof/>
        <w:sz w:val="26"/>
        <w:szCs w:val="26"/>
      </w:rPr>
    </w:sdtEndPr>
    <w:sdtContent>
      <w:p w:rsidR="0091702D" w:rsidRPr="009F43FC" w:rsidRDefault="0091702D">
        <w:pPr>
          <w:pStyle w:val="Header"/>
          <w:jc w:val="center"/>
          <w:rPr>
            <w:sz w:val="26"/>
            <w:szCs w:val="26"/>
          </w:rPr>
        </w:pPr>
        <w:r w:rsidRPr="009F43FC">
          <w:rPr>
            <w:sz w:val="26"/>
            <w:szCs w:val="26"/>
          </w:rPr>
          <w:fldChar w:fldCharType="begin"/>
        </w:r>
        <w:r w:rsidRPr="009F43FC">
          <w:rPr>
            <w:sz w:val="26"/>
            <w:szCs w:val="26"/>
          </w:rPr>
          <w:instrText xml:space="preserve"> PAGE   \* MERGEFORMAT </w:instrText>
        </w:r>
        <w:r w:rsidRPr="009F43FC">
          <w:rPr>
            <w:sz w:val="26"/>
            <w:szCs w:val="26"/>
          </w:rPr>
          <w:fldChar w:fldCharType="separate"/>
        </w:r>
        <w:r w:rsidRPr="009F43FC">
          <w:rPr>
            <w:noProof/>
            <w:sz w:val="26"/>
            <w:szCs w:val="26"/>
          </w:rPr>
          <w:t>2</w:t>
        </w:r>
        <w:r w:rsidRPr="009F43FC">
          <w:rPr>
            <w:noProof/>
            <w:sz w:val="26"/>
            <w:szCs w:val="26"/>
          </w:rPr>
          <w:fldChar w:fldCharType="end"/>
        </w:r>
      </w:p>
    </w:sdtContent>
  </w:sdt>
  <w:p w:rsidR="0091702D" w:rsidRDefault="00917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923C1"/>
    <w:multiLevelType w:val="hybridMultilevel"/>
    <w:tmpl w:val="239A440A"/>
    <w:lvl w:ilvl="0" w:tplc="6EB6D606">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446630D4"/>
    <w:multiLevelType w:val="hybridMultilevel"/>
    <w:tmpl w:val="3AE49B3C"/>
    <w:lvl w:ilvl="0" w:tplc="7C84368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BAB"/>
    <w:rsid w:val="000015F7"/>
    <w:rsid w:val="00003C58"/>
    <w:rsid w:val="000342D3"/>
    <w:rsid w:val="000408FE"/>
    <w:rsid w:val="00042A18"/>
    <w:rsid w:val="0006311F"/>
    <w:rsid w:val="000754AF"/>
    <w:rsid w:val="0008703D"/>
    <w:rsid w:val="000914EE"/>
    <w:rsid w:val="000935C4"/>
    <w:rsid w:val="00097F6C"/>
    <w:rsid w:val="000C1708"/>
    <w:rsid w:val="000C651D"/>
    <w:rsid w:val="000D752F"/>
    <w:rsid w:val="000E69DC"/>
    <w:rsid w:val="000F5B82"/>
    <w:rsid w:val="000F6790"/>
    <w:rsid w:val="00100C24"/>
    <w:rsid w:val="00104C25"/>
    <w:rsid w:val="001072E8"/>
    <w:rsid w:val="0011709C"/>
    <w:rsid w:val="00120DAA"/>
    <w:rsid w:val="00121954"/>
    <w:rsid w:val="00136DF4"/>
    <w:rsid w:val="001411A9"/>
    <w:rsid w:val="001415D1"/>
    <w:rsid w:val="00145F9C"/>
    <w:rsid w:val="00146880"/>
    <w:rsid w:val="001572EB"/>
    <w:rsid w:val="00175CD2"/>
    <w:rsid w:val="00183A72"/>
    <w:rsid w:val="00183CAB"/>
    <w:rsid w:val="00184397"/>
    <w:rsid w:val="001B07B3"/>
    <w:rsid w:val="001B4365"/>
    <w:rsid w:val="001B7567"/>
    <w:rsid w:val="001C2C29"/>
    <w:rsid w:val="001C5001"/>
    <w:rsid w:val="001D1805"/>
    <w:rsid w:val="001D2688"/>
    <w:rsid w:val="001D2E5E"/>
    <w:rsid w:val="001D6693"/>
    <w:rsid w:val="001D7460"/>
    <w:rsid w:val="001E19DF"/>
    <w:rsid w:val="001F001D"/>
    <w:rsid w:val="001F7D73"/>
    <w:rsid w:val="00203F1B"/>
    <w:rsid w:val="002151AF"/>
    <w:rsid w:val="00215F12"/>
    <w:rsid w:val="00230FC8"/>
    <w:rsid w:val="0023249C"/>
    <w:rsid w:val="002331E2"/>
    <w:rsid w:val="0023680C"/>
    <w:rsid w:val="00246C2D"/>
    <w:rsid w:val="002511FD"/>
    <w:rsid w:val="002552D9"/>
    <w:rsid w:val="00264EB1"/>
    <w:rsid w:val="00266E8D"/>
    <w:rsid w:val="00271869"/>
    <w:rsid w:val="00284B6B"/>
    <w:rsid w:val="00284BCC"/>
    <w:rsid w:val="002913BF"/>
    <w:rsid w:val="002973F0"/>
    <w:rsid w:val="002A32DB"/>
    <w:rsid w:val="002B0A4A"/>
    <w:rsid w:val="002C1A9A"/>
    <w:rsid w:val="002E1997"/>
    <w:rsid w:val="002E3317"/>
    <w:rsid w:val="002F550E"/>
    <w:rsid w:val="003017B8"/>
    <w:rsid w:val="00304055"/>
    <w:rsid w:val="00310A13"/>
    <w:rsid w:val="003155EA"/>
    <w:rsid w:val="00331055"/>
    <w:rsid w:val="0033106C"/>
    <w:rsid w:val="00332F2E"/>
    <w:rsid w:val="0034061A"/>
    <w:rsid w:val="00353591"/>
    <w:rsid w:val="00365745"/>
    <w:rsid w:val="00371568"/>
    <w:rsid w:val="003734F4"/>
    <w:rsid w:val="00374D42"/>
    <w:rsid w:val="00375122"/>
    <w:rsid w:val="003915A5"/>
    <w:rsid w:val="00392048"/>
    <w:rsid w:val="003B6A61"/>
    <w:rsid w:val="003D3986"/>
    <w:rsid w:val="00403188"/>
    <w:rsid w:val="004039D1"/>
    <w:rsid w:val="00413045"/>
    <w:rsid w:val="00416E32"/>
    <w:rsid w:val="00423254"/>
    <w:rsid w:val="0043306B"/>
    <w:rsid w:val="00434A3E"/>
    <w:rsid w:val="00444ED6"/>
    <w:rsid w:val="00451FF3"/>
    <w:rsid w:val="004545BF"/>
    <w:rsid w:val="00455044"/>
    <w:rsid w:val="0045706A"/>
    <w:rsid w:val="00466944"/>
    <w:rsid w:val="00467B36"/>
    <w:rsid w:val="004779C0"/>
    <w:rsid w:val="00486D4D"/>
    <w:rsid w:val="00495362"/>
    <w:rsid w:val="00497D5C"/>
    <w:rsid w:val="004A56B3"/>
    <w:rsid w:val="004A7968"/>
    <w:rsid w:val="004E5071"/>
    <w:rsid w:val="004E6683"/>
    <w:rsid w:val="00503843"/>
    <w:rsid w:val="00511999"/>
    <w:rsid w:val="005266B0"/>
    <w:rsid w:val="00541474"/>
    <w:rsid w:val="00547EDF"/>
    <w:rsid w:val="005577F3"/>
    <w:rsid w:val="00561184"/>
    <w:rsid w:val="00570913"/>
    <w:rsid w:val="00575A83"/>
    <w:rsid w:val="00585B42"/>
    <w:rsid w:val="00587C73"/>
    <w:rsid w:val="00594B16"/>
    <w:rsid w:val="0059579F"/>
    <w:rsid w:val="005A6A5D"/>
    <w:rsid w:val="005A6CF0"/>
    <w:rsid w:val="005A7612"/>
    <w:rsid w:val="005D1C6A"/>
    <w:rsid w:val="005E23FE"/>
    <w:rsid w:val="005E5941"/>
    <w:rsid w:val="005F0268"/>
    <w:rsid w:val="005F6066"/>
    <w:rsid w:val="006037B4"/>
    <w:rsid w:val="0061462D"/>
    <w:rsid w:val="006206AE"/>
    <w:rsid w:val="006365CD"/>
    <w:rsid w:val="00637EED"/>
    <w:rsid w:val="00647A5C"/>
    <w:rsid w:val="00652D8A"/>
    <w:rsid w:val="00655A1B"/>
    <w:rsid w:val="00660D5E"/>
    <w:rsid w:val="00660E52"/>
    <w:rsid w:val="00685FBD"/>
    <w:rsid w:val="006C3D53"/>
    <w:rsid w:val="006D33CA"/>
    <w:rsid w:val="006E3074"/>
    <w:rsid w:val="006E4B06"/>
    <w:rsid w:val="006F13FF"/>
    <w:rsid w:val="006F6095"/>
    <w:rsid w:val="007027DA"/>
    <w:rsid w:val="0070407C"/>
    <w:rsid w:val="0071552A"/>
    <w:rsid w:val="00747AD2"/>
    <w:rsid w:val="00752C94"/>
    <w:rsid w:val="00753D30"/>
    <w:rsid w:val="00787F6F"/>
    <w:rsid w:val="007923D5"/>
    <w:rsid w:val="00796265"/>
    <w:rsid w:val="00797456"/>
    <w:rsid w:val="007A2159"/>
    <w:rsid w:val="007A7291"/>
    <w:rsid w:val="007B2D2B"/>
    <w:rsid w:val="007B3880"/>
    <w:rsid w:val="007C5096"/>
    <w:rsid w:val="007D142D"/>
    <w:rsid w:val="007D71AA"/>
    <w:rsid w:val="007F1B88"/>
    <w:rsid w:val="00800B93"/>
    <w:rsid w:val="0081009F"/>
    <w:rsid w:val="00815CC5"/>
    <w:rsid w:val="0082123D"/>
    <w:rsid w:val="00821CE8"/>
    <w:rsid w:val="00827C44"/>
    <w:rsid w:val="0083118A"/>
    <w:rsid w:val="00844E76"/>
    <w:rsid w:val="00854F78"/>
    <w:rsid w:val="00871D6D"/>
    <w:rsid w:val="00872904"/>
    <w:rsid w:val="00880AF9"/>
    <w:rsid w:val="00892CEB"/>
    <w:rsid w:val="008B08F8"/>
    <w:rsid w:val="008C1953"/>
    <w:rsid w:val="008C77E0"/>
    <w:rsid w:val="008D078A"/>
    <w:rsid w:val="008E545E"/>
    <w:rsid w:val="008E7766"/>
    <w:rsid w:val="00906553"/>
    <w:rsid w:val="0091610E"/>
    <w:rsid w:val="0091702D"/>
    <w:rsid w:val="0093702F"/>
    <w:rsid w:val="00950D48"/>
    <w:rsid w:val="009511BF"/>
    <w:rsid w:val="0096185D"/>
    <w:rsid w:val="009627F7"/>
    <w:rsid w:val="009831EC"/>
    <w:rsid w:val="009864E4"/>
    <w:rsid w:val="00991921"/>
    <w:rsid w:val="00992D36"/>
    <w:rsid w:val="0099742A"/>
    <w:rsid w:val="009A2144"/>
    <w:rsid w:val="009B181E"/>
    <w:rsid w:val="009B775A"/>
    <w:rsid w:val="009D4127"/>
    <w:rsid w:val="009D77D8"/>
    <w:rsid w:val="009E3938"/>
    <w:rsid w:val="009E419C"/>
    <w:rsid w:val="009E65EB"/>
    <w:rsid w:val="009F43FC"/>
    <w:rsid w:val="00A059AB"/>
    <w:rsid w:val="00A07AF7"/>
    <w:rsid w:val="00A20228"/>
    <w:rsid w:val="00A36206"/>
    <w:rsid w:val="00A441E7"/>
    <w:rsid w:val="00A51DAA"/>
    <w:rsid w:val="00A52616"/>
    <w:rsid w:val="00A55BAB"/>
    <w:rsid w:val="00A63BE9"/>
    <w:rsid w:val="00A66FDE"/>
    <w:rsid w:val="00A83CE8"/>
    <w:rsid w:val="00A907AA"/>
    <w:rsid w:val="00A90AE6"/>
    <w:rsid w:val="00A95361"/>
    <w:rsid w:val="00AA3FC0"/>
    <w:rsid w:val="00AB2BF4"/>
    <w:rsid w:val="00AB5FF1"/>
    <w:rsid w:val="00AD3FB1"/>
    <w:rsid w:val="00AD49EF"/>
    <w:rsid w:val="00AE0024"/>
    <w:rsid w:val="00AE343D"/>
    <w:rsid w:val="00AE3D87"/>
    <w:rsid w:val="00AE77FC"/>
    <w:rsid w:val="00AF1B58"/>
    <w:rsid w:val="00AF2770"/>
    <w:rsid w:val="00AF650A"/>
    <w:rsid w:val="00AF66BE"/>
    <w:rsid w:val="00AF7C49"/>
    <w:rsid w:val="00B12735"/>
    <w:rsid w:val="00B33589"/>
    <w:rsid w:val="00B406DE"/>
    <w:rsid w:val="00B50882"/>
    <w:rsid w:val="00B533C3"/>
    <w:rsid w:val="00B535CA"/>
    <w:rsid w:val="00B55AED"/>
    <w:rsid w:val="00B6028E"/>
    <w:rsid w:val="00B65318"/>
    <w:rsid w:val="00B74B9F"/>
    <w:rsid w:val="00B82EA1"/>
    <w:rsid w:val="00B87234"/>
    <w:rsid w:val="00B910DA"/>
    <w:rsid w:val="00B973FA"/>
    <w:rsid w:val="00BC2B73"/>
    <w:rsid w:val="00BC2F4A"/>
    <w:rsid w:val="00BC687F"/>
    <w:rsid w:val="00BC7756"/>
    <w:rsid w:val="00BD41F8"/>
    <w:rsid w:val="00BD49EE"/>
    <w:rsid w:val="00BE0F25"/>
    <w:rsid w:val="00BE30B2"/>
    <w:rsid w:val="00C06040"/>
    <w:rsid w:val="00C10963"/>
    <w:rsid w:val="00C11718"/>
    <w:rsid w:val="00C21599"/>
    <w:rsid w:val="00C3016B"/>
    <w:rsid w:val="00C34462"/>
    <w:rsid w:val="00C355F4"/>
    <w:rsid w:val="00C36C0F"/>
    <w:rsid w:val="00C37602"/>
    <w:rsid w:val="00C40DCF"/>
    <w:rsid w:val="00C428A8"/>
    <w:rsid w:val="00C44948"/>
    <w:rsid w:val="00C47166"/>
    <w:rsid w:val="00C63A54"/>
    <w:rsid w:val="00C64879"/>
    <w:rsid w:val="00C67982"/>
    <w:rsid w:val="00C76FE6"/>
    <w:rsid w:val="00CA0643"/>
    <w:rsid w:val="00CA2514"/>
    <w:rsid w:val="00CB09CE"/>
    <w:rsid w:val="00CB28DA"/>
    <w:rsid w:val="00CB5C87"/>
    <w:rsid w:val="00CC2560"/>
    <w:rsid w:val="00CC746D"/>
    <w:rsid w:val="00CD31E8"/>
    <w:rsid w:val="00CD5910"/>
    <w:rsid w:val="00CD7DAC"/>
    <w:rsid w:val="00CE75B2"/>
    <w:rsid w:val="00CF13FC"/>
    <w:rsid w:val="00CF2CAD"/>
    <w:rsid w:val="00CF3577"/>
    <w:rsid w:val="00D03AF1"/>
    <w:rsid w:val="00D10079"/>
    <w:rsid w:val="00D12489"/>
    <w:rsid w:val="00D12AC2"/>
    <w:rsid w:val="00D13537"/>
    <w:rsid w:val="00D14265"/>
    <w:rsid w:val="00D265C6"/>
    <w:rsid w:val="00D43969"/>
    <w:rsid w:val="00D56731"/>
    <w:rsid w:val="00D65B3B"/>
    <w:rsid w:val="00D67CA8"/>
    <w:rsid w:val="00D72E60"/>
    <w:rsid w:val="00D74EBC"/>
    <w:rsid w:val="00D76323"/>
    <w:rsid w:val="00D84DE5"/>
    <w:rsid w:val="00D903EB"/>
    <w:rsid w:val="00D95381"/>
    <w:rsid w:val="00D95B0D"/>
    <w:rsid w:val="00DD3F49"/>
    <w:rsid w:val="00DD565B"/>
    <w:rsid w:val="00DE15EF"/>
    <w:rsid w:val="00DE7FE6"/>
    <w:rsid w:val="00DF4C58"/>
    <w:rsid w:val="00E1010B"/>
    <w:rsid w:val="00E127F6"/>
    <w:rsid w:val="00E24D7B"/>
    <w:rsid w:val="00E25C5A"/>
    <w:rsid w:val="00E36AE7"/>
    <w:rsid w:val="00E402CC"/>
    <w:rsid w:val="00E42378"/>
    <w:rsid w:val="00E4367E"/>
    <w:rsid w:val="00E44DA0"/>
    <w:rsid w:val="00E5251E"/>
    <w:rsid w:val="00E72044"/>
    <w:rsid w:val="00E730D6"/>
    <w:rsid w:val="00E915EC"/>
    <w:rsid w:val="00E92559"/>
    <w:rsid w:val="00E93254"/>
    <w:rsid w:val="00EA164D"/>
    <w:rsid w:val="00EA4763"/>
    <w:rsid w:val="00EB1D75"/>
    <w:rsid w:val="00EC0EF0"/>
    <w:rsid w:val="00ED35B6"/>
    <w:rsid w:val="00ED3E84"/>
    <w:rsid w:val="00EE471E"/>
    <w:rsid w:val="00F0289D"/>
    <w:rsid w:val="00F10B40"/>
    <w:rsid w:val="00F127D9"/>
    <w:rsid w:val="00F246A4"/>
    <w:rsid w:val="00F2517C"/>
    <w:rsid w:val="00F31A48"/>
    <w:rsid w:val="00F375B5"/>
    <w:rsid w:val="00F41882"/>
    <w:rsid w:val="00F51E4F"/>
    <w:rsid w:val="00F65718"/>
    <w:rsid w:val="00F7554C"/>
    <w:rsid w:val="00F80229"/>
    <w:rsid w:val="00F84D15"/>
    <w:rsid w:val="00F86EF5"/>
    <w:rsid w:val="00F910DD"/>
    <w:rsid w:val="00FA2F12"/>
    <w:rsid w:val="00FB5BC9"/>
    <w:rsid w:val="00FC306E"/>
    <w:rsid w:val="00FC795D"/>
    <w:rsid w:val="00FE5FBB"/>
    <w:rsid w:val="00FF5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6B220E-238A-4A93-AADA-01C4324D4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BA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5BAB"/>
    <w:pPr>
      <w:spacing w:before="100" w:beforeAutospacing="1" w:after="100" w:afterAutospacing="1"/>
    </w:pPr>
    <w:rPr>
      <w:sz w:val="24"/>
      <w:szCs w:val="24"/>
    </w:rPr>
  </w:style>
  <w:style w:type="paragraph" w:styleId="Header">
    <w:name w:val="header"/>
    <w:basedOn w:val="Normal"/>
    <w:link w:val="HeaderChar"/>
    <w:uiPriority w:val="99"/>
    <w:unhideWhenUsed/>
    <w:rsid w:val="00B535CA"/>
    <w:pPr>
      <w:tabs>
        <w:tab w:val="center" w:pos="4680"/>
        <w:tab w:val="right" w:pos="9360"/>
      </w:tabs>
    </w:pPr>
  </w:style>
  <w:style w:type="character" w:customStyle="1" w:styleId="HeaderChar">
    <w:name w:val="Header Char"/>
    <w:basedOn w:val="DefaultParagraphFont"/>
    <w:link w:val="Header"/>
    <w:uiPriority w:val="99"/>
    <w:rsid w:val="00B535CA"/>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535CA"/>
    <w:pPr>
      <w:tabs>
        <w:tab w:val="center" w:pos="4680"/>
        <w:tab w:val="right" w:pos="9360"/>
      </w:tabs>
    </w:pPr>
  </w:style>
  <w:style w:type="character" w:customStyle="1" w:styleId="FooterChar">
    <w:name w:val="Footer Char"/>
    <w:basedOn w:val="DefaultParagraphFont"/>
    <w:link w:val="Footer"/>
    <w:uiPriority w:val="99"/>
    <w:rsid w:val="00B535CA"/>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7962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6265"/>
    <w:rPr>
      <w:rFonts w:ascii="Segoe UI" w:eastAsia="Times New Roman" w:hAnsi="Segoe UI" w:cs="Segoe UI"/>
      <w:sz w:val="18"/>
      <w:szCs w:val="18"/>
    </w:rPr>
  </w:style>
  <w:style w:type="paragraph" w:styleId="ListParagraph">
    <w:name w:val="List Paragraph"/>
    <w:basedOn w:val="Normal"/>
    <w:uiPriority w:val="34"/>
    <w:qFormat/>
    <w:rsid w:val="00203F1B"/>
    <w:pPr>
      <w:ind w:left="720"/>
      <w:contextualSpacing/>
    </w:pPr>
  </w:style>
  <w:style w:type="paragraph" w:styleId="FootnoteText">
    <w:name w:val="footnote text"/>
    <w:basedOn w:val="Normal"/>
    <w:link w:val="FootnoteTextChar"/>
    <w:uiPriority w:val="99"/>
    <w:semiHidden/>
    <w:unhideWhenUsed/>
    <w:rsid w:val="00DF4C58"/>
    <w:rPr>
      <w:sz w:val="20"/>
      <w:szCs w:val="20"/>
    </w:rPr>
  </w:style>
  <w:style w:type="character" w:customStyle="1" w:styleId="FootnoteTextChar">
    <w:name w:val="Footnote Text Char"/>
    <w:basedOn w:val="DefaultParagraphFont"/>
    <w:link w:val="FootnoteText"/>
    <w:uiPriority w:val="99"/>
    <w:semiHidden/>
    <w:rsid w:val="00DF4C5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F4C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41839-8029-4C87-919B-2219A2795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13</Pages>
  <Words>4643</Words>
  <Characters>26469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360</cp:revision>
  <cp:lastPrinted>2024-06-19T11:00:00Z</cp:lastPrinted>
  <dcterms:created xsi:type="dcterms:W3CDTF">2024-03-18T04:08:00Z</dcterms:created>
  <dcterms:modified xsi:type="dcterms:W3CDTF">2024-07-01T08:22:00Z</dcterms:modified>
</cp:coreProperties>
</file>